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rPr>
          <w:rFonts w:hint="eastAsia" w:ascii="黑体" w:eastAsia="黑体"/>
          <w:sz w:val="36"/>
          <w:szCs w:val="36"/>
        </w:rPr>
      </w:pPr>
      <w:r>
        <w:rPr>
          <w:rFonts w:hint="eastAsia" w:ascii="黑体" w:eastAsia="黑体"/>
          <w:sz w:val="36"/>
          <w:szCs w:val="36"/>
        </w:rPr>
        <w:t xml:space="preserve">     </w:t>
      </w:r>
    </w:p>
    <w:p>
      <w:pPr>
        <w:rPr>
          <w:rFonts w:hint="eastAsia" w:ascii="黑体" w:eastAsia="黑体"/>
          <w:b/>
          <w:bCs w:val="0"/>
          <w:sz w:val="36"/>
          <w:szCs w:val="36"/>
        </w:rPr>
      </w:pPr>
      <w:r>
        <w:rPr>
          <w:rFonts w:hint="eastAsia" w:ascii="黑体" w:eastAsia="黑体"/>
          <w:sz w:val="36"/>
          <w:szCs w:val="36"/>
        </w:rPr>
        <w:t xml:space="preserve"> </w:t>
      </w:r>
      <w:r>
        <w:rPr>
          <w:rFonts w:hint="eastAsia" w:ascii="黑体" w:eastAsia="黑体"/>
          <w:b/>
          <w:bCs w:val="0"/>
          <w:sz w:val="44"/>
          <w:szCs w:val="44"/>
        </w:rPr>
        <w:t>黑龙江当代中俄区域经济研究院基本情况</w:t>
      </w:r>
    </w:p>
    <w:p>
      <w:pPr>
        <w:spacing w:line="500" w:lineRule="exact"/>
        <w:ind w:firstLine="640" w:firstLineChars="200"/>
        <w:rPr>
          <w:rFonts w:hint="eastAsia" w:ascii="楷体" w:hAnsi="楷体" w:eastAsia="楷体"/>
          <w:sz w:val="32"/>
          <w:szCs w:val="32"/>
        </w:rPr>
      </w:pPr>
    </w:p>
    <w:p>
      <w:pPr>
        <w:spacing w:line="500" w:lineRule="exact"/>
        <w:ind w:firstLine="643" w:firstLineChars="200"/>
        <w:rPr>
          <w:rFonts w:ascii="楷体" w:hAnsi="楷体" w:eastAsia="楷体"/>
          <w:b/>
          <w:sz w:val="32"/>
          <w:szCs w:val="32"/>
        </w:rPr>
      </w:pPr>
      <w:r>
        <w:rPr>
          <w:rFonts w:hint="eastAsia" w:ascii="楷体" w:hAnsi="楷体" w:eastAsia="楷体"/>
          <w:sz w:val="32"/>
          <w:szCs w:val="32"/>
        </w:rPr>
        <w:t>在国家有关部委和黑龙江省委省政府的关怀下，成立的中国第一个研究中俄区域经济的民间</w:t>
      </w:r>
      <w:r>
        <w:rPr>
          <w:rFonts w:hint="eastAsia" w:ascii="楷体" w:hAnsi="楷体" w:eastAsia="楷体"/>
          <w:sz w:val="32"/>
          <w:szCs w:val="32"/>
          <w:lang w:eastAsia="zh-CN"/>
        </w:rPr>
        <w:t>智库</w:t>
      </w:r>
      <w:r>
        <w:rPr>
          <w:rFonts w:hint="eastAsia" w:ascii="楷体" w:hAnsi="楷体" w:eastAsia="楷体"/>
          <w:sz w:val="32"/>
          <w:szCs w:val="32"/>
        </w:rPr>
        <w:t>——黑龙江当代中俄区域经济研究院（简称中俄研究院）。</w:t>
      </w:r>
    </w:p>
    <w:p>
      <w:pPr>
        <w:spacing w:line="500" w:lineRule="exact"/>
        <w:ind w:firstLine="640" w:firstLineChars="200"/>
        <w:rPr>
          <w:rFonts w:ascii="楷体" w:hAnsi="楷体" w:eastAsia="楷体" w:cs="宋体"/>
          <w:b/>
          <w:bCs/>
          <w:kern w:val="0"/>
          <w:sz w:val="32"/>
          <w:szCs w:val="32"/>
        </w:rPr>
      </w:pPr>
      <w:r>
        <w:rPr>
          <w:rFonts w:hint="eastAsia" w:ascii="楷体" w:hAnsi="楷体" w:eastAsia="楷体"/>
          <w:sz w:val="32"/>
          <w:szCs w:val="32"/>
        </w:rPr>
        <w:t>中俄研究院旨在搭建一个官产学研</w:t>
      </w:r>
      <w:r>
        <w:rPr>
          <w:rFonts w:hint="eastAsia" w:ascii="楷体" w:hAnsi="楷体" w:eastAsia="楷体"/>
          <w:sz w:val="32"/>
          <w:szCs w:val="32"/>
          <w:lang w:eastAsia="zh-CN"/>
        </w:rPr>
        <w:t>金</w:t>
      </w:r>
      <w:r>
        <w:rPr>
          <w:rFonts w:hint="eastAsia" w:ascii="楷体" w:hAnsi="楷体" w:eastAsia="楷体"/>
          <w:sz w:val="32"/>
          <w:szCs w:val="32"/>
        </w:rPr>
        <w:t>媒相结合的大平台，共同为中俄地方经济社会文化发展与合作出谋划策</w:t>
      </w:r>
      <w:r>
        <w:rPr>
          <w:rFonts w:hint="eastAsia" w:ascii="楷体" w:hAnsi="楷体" w:eastAsia="楷体" w:cs="宋体"/>
          <w:kern w:val="0"/>
          <w:sz w:val="32"/>
          <w:szCs w:val="32"/>
        </w:rPr>
        <w:t>。</w:t>
      </w:r>
      <w:r>
        <w:rPr>
          <w:rFonts w:hint="eastAsia" w:ascii="楷体" w:hAnsi="楷体" w:eastAsia="楷体" w:cs="宋体"/>
          <w:b/>
          <w:bCs/>
          <w:kern w:val="0"/>
          <w:sz w:val="32"/>
          <w:szCs w:val="32"/>
          <w:lang w:val="en-US" w:eastAsia="zh-CN"/>
        </w:rPr>
        <w:t>2015年11月荣获全国创建新型智库先进单位。</w:t>
      </w:r>
    </w:p>
    <w:p>
      <w:pPr>
        <w:spacing w:line="500" w:lineRule="exact"/>
        <w:ind w:firstLine="643" w:firstLineChars="200"/>
        <w:rPr>
          <w:rFonts w:ascii="楷体" w:hAnsi="楷体" w:eastAsia="楷体" w:cs="宋体"/>
          <w:b/>
          <w:kern w:val="0"/>
          <w:sz w:val="32"/>
          <w:szCs w:val="32"/>
        </w:rPr>
      </w:pPr>
      <w:r>
        <w:rPr>
          <w:rFonts w:hint="eastAsia" w:ascii="楷体" w:hAnsi="楷体" w:eastAsia="楷体" w:cs="宋体"/>
          <w:b/>
          <w:kern w:val="0"/>
          <w:sz w:val="32"/>
          <w:szCs w:val="32"/>
          <w:lang w:eastAsia="zh-CN"/>
        </w:rPr>
        <w:t>一、</w:t>
      </w:r>
      <w:r>
        <w:rPr>
          <w:rFonts w:hint="eastAsia" w:ascii="楷体" w:hAnsi="楷体" w:eastAsia="楷体" w:cs="宋体"/>
          <w:b/>
          <w:kern w:val="0"/>
          <w:sz w:val="32"/>
          <w:szCs w:val="32"/>
        </w:rPr>
        <w:t>研究院的宗旨是：</w:t>
      </w:r>
    </w:p>
    <w:p>
      <w:pPr>
        <w:spacing w:line="500" w:lineRule="exact"/>
        <w:ind w:firstLine="643" w:firstLineChars="200"/>
        <w:rPr>
          <w:rFonts w:ascii="楷体" w:hAnsi="楷体" w:eastAsia="楷体" w:cs="宋体"/>
          <w:b/>
          <w:kern w:val="0"/>
          <w:sz w:val="32"/>
          <w:szCs w:val="32"/>
        </w:rPr>
      </w:pPr>
      <w:r>
        <w:rPr>
          <w:rFonts w:hint="eastAsia" w:ascii="楷体" w:hAnsi="楷体" w:eastAsia="楷体" w:cs="宋体"/>
          <w:b/>
          <w:kern w:val="0"/>
          <w:sz w:val="32"/>
          <w:szCs w:val="32"/>
        </w:rPr>
        <w:t>智慧谋划  服务决策  创新驱动  助力发展</w:t>
      </w:r>
    </w:p>
    <w:p>
      <w:pPr>
        <w:spacing w:line="500" w:lineRule="exact"/>
        <w:ind w:firstLine="640" w:firstLineChars="200"/>
        <w:rPr>
          <w:rFonts w:ascii="楷体" w:hAnsi="楷体" w:eastAsia="楷体"/>
          <w:sz w:val="32"/>
          <w:szCs w:val="32"/>
        </w:rPr>
      </w:pPr>
      <w:r>
        <w:rPr>
          <w:rFonts w:hint="eastAsia" w:ascii="楷体" w:hAnsi="楷体" w:eastAsia="楷体" w:cs="宋体"/>
          <w:kern w:val="0"/>
          <w:sz w:val="32"/>
          <w:szCs w:val="32"/>
        </w:rPr>
        <w:t>中俄研究院采取老中青相结合、省内外专家相结合、</w:t>
      </w:r>
      <w:r>
        <w:rPr>
          <w:rFonts w:hint="eastAsia" w:ascii="楷体" w:hAnsi="楷体" w:eastAsia="楷体" w:cs="宋体"/>
          <w:kern w:val="0"/>
          <w:sz w:val="32"/>
          <w:szCs w:val="32"/>
          <w:lang w:eastAsia="zh-CN"/>
        </w:rPr>
        <w:t>国内</w:t>
      </w:r>
      <w:r>
        <w:rPr>
          <w:rFonts w:hint="eastAsia" w:ascii="楷体" w:hAnsi="楷体" w:eastAsia="楷体" w:cs="宋体"/>
          <w:kern w:val="0"/>
          <w:sz w:val="32"/>
          <w:szCs w:val="32"/>
        </w:rPr>
        <w:t>外专家相结合的开放式研究体制，主要着眼于经济社会文化发展方面的重点、热点和难点问题，开展战略性、宏观性、前瞻性研究，以获得对未来经济形势、对宏观调控政策的一个相对准确的预期，不断形成一批针对性强，可操作性强的研究成果。为政府、企业和个人的决策提供具有独立性、客观性和科学性的咨询服务，</w:t>
      </w:r>
      <w:r>
        <w:rPr>
          <w:rFonts w:hint="eastAsia" w:ascii="楷体" w:hAnsi="楷体" w:eastAsia="楷体"/>
          <w:sz w:val="32"/>
          <w:szCs w:val="32"/>
        </w:rPr>
        <w:t>提供</w:t>
      </w:r>
      <w:r>
        <w:rPr>
          <w:rFonts w:hint="eastAsia" w:ascii="楷体" w:hAnsi="楷体" w:eastAsia="楷体" w:cs="宋体"/>
          <w:kern w:val="0"/>
          <w:sz w:val="32"/>
          <w:szCs w:val="32"/>
        </w:rPr>
        <w:t>项目策划和可行性研究</w:t>
      </w:r>
      <w:r>
        <w:rPr>
          <w:rFonts w:hint="eastAsia" w:ascii="楷体" w:hAnsi="楷体" w:eastAsia="楷体"/>
          <w:sz w:val="32"/>
          <w:szCs w:val="32"/>
        </w:rPr>
        <w:t>服务。</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我省一批研究经济、社会、文化和研究俄罗斯及中俄合作的顶级老专家，怀着高度信任感和报效国家和黑龙江省父老乡亲的使命感，聚集一堂，一心想为地方经济社会发展出谋划策，贡献自己的力量。我们决心团结中青年学者，并与政府、企业、媒体合作为家乡的经济、社会和文化发展出谋划策，共同为家乡的发展助力。</w:t>
      </w:r>
    </w:p>
    <w:p>
      <w:pPr>
        <w:spacing w:line="500" w:lineRule="exact"/>
        <w:ind w:firstLine="643" w:firstLineChars="200"/>
        <w:rPr>
          <w:rFonts w:ascii="楷体" w:hAnsi="楷体" w:eastAsia="楷体"/>
          <w:b/>
          <w:sz w:val="32"/>
          <w:szCs w:val="32"/>
        </w:rPr>
      </w:pPr>
      <w:r>
        <w:rPr>
          <w:rFonts w:hint="eastAsia" w:ascii="楷体" w:hAnsi="楷体" w:eastAsia="楷体"/>
          <w:b/>
          <w:sz w:val="32"/>
          <w:szCs w:val="32"/>
          <w:lang w:eastAsia="zh-CN"/>
        </w:rPr>
        <w:t>二、</w:t>
      </w:r>
      <w:r>
        <w:rPr>
          <w:rFonts w:hint="eastAsia" w:ascii="楷体" w:hAnsi="楷体" w:eastAsia="楷体"/>
          <w:b/>
          <w:sz w:val="32"/>
          <w:szCs w:val="32"/>
        </w:rPr>
        <w:t>中俄研究院的主要研究方向：</w:t>
      </w:r>
    </w:p>
    <w:p>
      <w:pPr>
        <w:spacing w:line="500" w:lineRule="exact"/>
        <w:ind w:firstLine="640" w:firstLineChars="200"/>
        <w:rPr>
          <w:rFonts w:ascii="楷体" w:hAnsi="楷体" w:eastAsia="楷体"/>
          <w:sz w:val="32"/>
          <w:szCs w:val="32"/>
        </w:rPr>
      </w:pPr>
      <w:r>
        <w:rPr>
          <w:rFonts w:hint="eastAsia" w:ascii="楷体" w:hAnsi="楷体" w:eastAsia="楷体"/>
          <w:sz w:val="32"/>
          <w:szCs w:val="32"/>
        </w:rPr>
        <w:t>1、研究对外开放的全局性、战略性、长期性课题，参与经济社会发展重大项目的调研论证，提供政策建议和咨询意见；</w:t>
      </w:r>
    </w:p>
    <w:p>
      <w:pPr>
        <w:spacing w:line="500" w:lineRule="exact"/>
        <w:ind w:firstLine="640" w:firstLineChars="200"/>
        <w:rPr>
          <w:rFonts w:ascii="楷体" w:hAnsi="楷体" w:eastAsia="楷体"/>
          <w:sz w:val="32"/>
          <w:szCs w:val="32"/>
        </w:rPr>
      </w:pPr>
      <w:r>
        <w:rPr>
          <w:rFonts w:hint="eastAsia" w:ascii="楷体" w:hAnsi="楷体" w:eastAsia="楷体"/>
          <w:sz w:val="32"/>
          <w:szCs w:val="32"/>
        </w:rPr>
        <w:t>2、对中俄合作的重大理论和实践问题进行独立、客观研究，适时向政府和企业提出战略性研究报告和具有可操作性的对策建议；</w:t>
      </w:r>
    </w:p>
    <w:p>
      <w:pPr>
        <w:spacing w:line="500" w:lineRule="exact"/>
        <w:ind w:firstLine="640" w:firstLineChars="200"/>
        <w:rPr>
          <w:rFonts w:ascii="楷体" w:hAnsi="楷体" w:eastAsia="楷体"/>
          <w:sz w:val="32"/>
          <w:szCs w:val="32"/>
        </w:rPr>
      </w:pPr>
      <w:r>
        <w:rPr>
          <w:rFonts w:hint="eastAsia" w:ascii="楷体" w:hAnsi="楷体" w:eastAsia="楷体"/>
          <w:sz w:val="32"/>
          <w:szCs w:val="32"/>
        </w:rPr>
        <w:t>3、广泛开展国内外调查研究，搜集、分析、整理和报送中俄合作的重要信息，为党委、政府制定政策和法规提供参考依据；</w:t>
      </w:r>
    </w:p>
    <w:p>
      <w:pPr>
        <w:spacing w:line="500" w:lineRule="exact"/>
        <w:ind w:firstLine="640" w:firstLineChars="200"/>
        <w:rPr>
          <w:rFonts w:ascii="楷体" w:hAnsi="楷体" w:eastAsia="楷体"/>
          <w:sz w:val="32"/>
          <w:szCs w:val="32"/>
        </w:rPr>
      </w:pPr>
      <w:r>
        <w:rPr>
          <w:rFonts w:hint="eastAsia" w:ascii="楷体" w:hAnsi="楷体" w:eastAsia="楷体"/>
          <w:sz w:val="32"/>
          <w:szCs w:val="32"/>
        </w:rPr>
        <w:t>4、完成政府、企业和个人等交办的其他研究和咨询任务。</w:t>
      </w:r>
    </w:p>
    <w:p>
      <w:pPr>
        <w:spacing w:line="500" w:lineRule="exact"/>
        <w:ind w:firstLine="643" w:firstLineChars="200"/>
        <w:rPr>
          <w:rFonts w:ascii="楷体" w:hAnsi="楷体" w:eastAsia="楷体"/>
          <w:b/>
          <w:sz w:val="32"/>
          <w:szCs w:val="32"/>
        </w:rPr>
      </w:pPr>
      <w:r>
        <w:rPr>
          <w:rFonts w:hint="eastAsia" w:ascii="楷体" w:hAnsi="楷体" w:eastAsia="楷体"/>
          <w:b/>
          <w:sz w:val="32"/>
          <w:szCs w:val="32"/>
          <w:lang w:eastAsia="zh-CN"/>
        </w:rPr>
        <w:t>三</w:t>
      </w:r>
      <w:r>
        <w:rPr>
          <w:rFonts w:hint="eastAsia" w:ascii="楷体" w:hAnsi="楷体" w:eastAsia="楷体"/>
          <w:b/>
          <w:sz w:val="32"/>
          <w:szCs w:val="32"/>
        </w:rPr>
        <w:t>、中俄研究院已取得的主要成果</w:t>
      </w:r>
    </w:p>
    <w:p>
      <w:pPr>
        <w:spacing w:line="500" w:lineRule="exact"/>
        <w:ind w:firstLine="640" w:firstLineChars="200"/>
        <w:rPr>
          <w:rFonts w:ascii="楷体" w:hAnsi="楷体" w:eastAsia="楷体"/>
          <w:sz w:val="32"/>
          <w:szCs w:val="32"/>
        </w:rPr>
      </w:pPr>
      <w:r>
        <w:rPr>
          <w:rFonts w:hint="eastAsia" w:ascii="楷体" w:hAnsi="楷体" w:eastAsia="楷体"/>
          <w:sz w:val="32"/>
          <w:szCs w:val="32"/>
        </w:rPr>
        <w:t>中俄研究院已完成的经济社会文化研究和项目咨询策划任务，</w:t>
      </w:r>
      <w:r>
        <w:rPr>
          <w:rFonts w:hint="eastAsia" w:ascii="楷体" w:hAnsi="楷体" w:eastAsia="楷体"/>
          <w:color w:val="000000"/>
          <w:sz w:val="32"/>
          <w:szCs w:val="32"/>
          <w:shd w:val="clear" w:color="auto" w:fill="F9FDFF"/>
        </w:rPr>
        <w:t>其中</w:t>
      </w:r>
      <w:r>
        <w:rPr>
          <w:rFonts w:hint="eastAsia" w:ascii="楷体" w:hAnsi="楷体" w:eastAsia="楷体"/>
          <w:sz w:val="32"/>
          <w:szCs w:val="32"/>
        </w:rPr>
        <w:t>绝大部分</w:t>
      </w:r>
      <w:r>
        <w:rPr>
          <w:rFonts w:hint="eastAsia" w:ascii="楷体" w:hAnsi="楷体" w:eastAsia="楷体"/>
          <w:color w:val="000000"/>
          <w:sz w:val="32"/>
          <w:szCs w:val="32"/>
          <w:shd w:val="clear" w:color="auto" w:fill="F9FDFF"/>
        </w:rPr>
        <w:t>转化为实际决策。</w:t>
      </w:r>
      <w:r>
        <w:rPr>
          <w:rFonts w:hint="eastAsia" w:ascii="楷体" w:hAnsi="楷体" w:eastAsia="楷体"/>
          <w:sz w:val="32"/>
          <w:szCs w:val="32"/>
        </w:rPr>
        <w:t>主要有：</w:t>
      </w:r>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中国绿色食品博览会（齐齐哈尔）</w:t>
      </w:r>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中国农机谷（佳木斯）</w:t>
      </w:r>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中国农业技术设备与产品国际博览会（黑龙江省展览馆）</w:t>
      </w:r>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绥芬河高新产业发展咨询策划</w:t>
      </w:r>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哈尔滨台湾食品工业园</w:t>
      </w:r>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牡丹江日本食品工业园</w:t>
      </w:r>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汤原韩国食品工业园</w:t>
      </w:r>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黑龙江省旅游集散中心（哈尔滨中央大金安国际购物广场）</w:t>
      </w:r>
    </w:p>
    <w:p>
      <w:pPr>
        <w:pStyle w:val="5"/>
        <w:numPr>
          <w:ilvl w:val="0"/>
          <w:numId w:val="1"/>
        </w:numPr>
        <w:spacing w:line="500" w:lineRule="exact"/>
        <w:ind w:firstLineChars="0"/>
        <w:rPr>
          <w:rFonts w:hint="eastAsia" w:ascii="楷体" w:hAnsi="楷体" w:eastAsia="楷体"/>
          <w:sz w:val="32"/>
          <w:szCs w:val="32"/>
        </w:rPr>
      </w:pPr>
      <w:r>
        <w:rPr>
          <w:rFonts w:hint="eastAsia" w:ascii="楷体" w:hAnsi="楷体" w:eastAsia="楷体"/>
          <w:sz w:val="32"/>
          <w:szCs w:val="32"/>
        </w:rPr>
        <w:t>国家级农业与食品工业科技试验园区</w:t>
      </w:r>
    </w:p>
    <w:p>
      <w:pPr>
        <w:pStyle w:val="5"/>
        <w:numPr>
          <w:ilvl w:val="0"/>
          <w:numId w:val="1"/>
        </w:numPr>
        <w:spacing w:line="500" w:lineRule="exact"/>
        <w:ind w:firstLineChars="0"/>
        <w:rPr>
          <w:rFonts w:hint="eastAsia" w:ascii="楷体" w:hAnsi="楷体" w:eastAsia="楷体"/>
          <w:sz w:val="32"/>
          <w:szCs w:val="32"/>
        </w:rPr>
      </w:pPr>
      <w:r>
        <w:rPr>
          <w:rFonts w:hint="eastAsia" w:ascii="楷体" w:hAnsi="楷体" w:eastAsia="楷体"/>
          <w:sz w:val="32"/>
          <w:szCs w:val="32"/>
        </w:rPr>
        <w:t>大美龙江特刊</w:t>
      </w:r>
    </w:p>
    <w:p>
      <w:pPr>
        <w:pStyle w:val="5"/>
        <w:numPr>
          <w:ilvl w:val="0"/>
          <w:numId w:val="1"/>
        </w:numPr>
        <w:spacing w:line="500" w:lineRule="exact"/>
        <w:ind w:firstLineChars="0"/>
        <w:rPr>
          <w:rFonts w:hint="eastAsia" w:ascii="楷体" w:hAnsi="楷体" w:eastAsia="楷体"/>
          <w:sz w:val="32"/>
          <w:szCs w:val="32"/>
        </w:rPr>
      </w:pPr>
      <w:r>
        <w:rPr>
          <w:rFonts w:hint="eastAsia" w:ascii="楷体" w:hAnsi="楷体" w:eastAsia="楷体"/>
          <w:sz w:val="32"/>
          <w:szCs w:val="32"/>
        </w:rPr>
        <w:t>中俄航空工业研发中心</w:t>
      </w:r>
    </w:p>
    <w:p>
      <w:pPr>
        <w:spacing w:line="500" w:lineRule="exact"/>
        <w:ind w:firstLine="640" w:firstLineChars="200"/>
        <w:rPr>
          <w:rFonts w:hint="eastAsia" w:ascii="楷体" w:hAnsi="楷体" w:eastAsia="楷体"/>
          <w:b/>
          <w:bCs/>
          <w:sz w:val="32"/>
          <w:szCs w:val="32"/>
          <w:lang w:eastAsia="zh-CN"/>
        </w:rPr>
      </w:pPr>
      <w:r>
        <w:rPr>
          <w:rFonts w:hint="eastAsia" w:ascii="楷体" w:hAnsi="楷体" w:eastAsia="楷体"/>
          <w:b/>
          <w:bCs/>
          <w:sz w:val="32"/>
          <w:szCs w:val="32"/>
          <w:lang w:eastAsia="zh-CN"/>
        </w:rPr>
        <w:t>完成国家、省市的</w:t>
      </w:r>
      <w:r>
        <w:rPr>
          <w:rFonts w:hint="eastAsia" w:ascii="楷体" w:hAnsi="楷体" w:eastAsia="楷体"/>
          <w:b/>
          <w:bCs/>
          <w:sz w:val="32"/>
          <w:szCs w:val="32"/>
        </w:rPr>
        <w:t>主要</w:t>
      </w:r>
      <w:r>
        <w:rPr>
          <w:rFonts w:hint="eastAsia" w:ascii="楷体" w:hAnsi="楷体" w:eastAsia="楷体"/>
          <w:b/>
          <w:bCs/>
          <w:sz w:val="32"/>
          <w:szCs w:val="32"/>
          <w:lang w:eastAsia="zh-CN"/>
        </w:rPr>
        <w:t>规划和课题有：</w:t>
      </w:r>
    </w:p>
    <w:p>
      <w:pPr>
        <w:pStyle w:val="5"/>
        <w:numPr>
          <w:ilvl w:val="0"/>
          <w:numId w:val="1"/>
        </w:numPr>
        <w:spacing w:line="500" w:lineRule="exact"/>
        <w:ind w:firstLineChars="0"/>
        <w:rPr>
          <w:rFonts w:hint="eastAsia" w:ascii="楷体" w:hAnsi="楷体" w:eastAsia="楷体"/>
          <w:sz w:val="32"/>
          <w:szCs w:val="32"/>
          <w:lang w:eastAsia="zh-CN"/>
        </w:rPr>
      </w:pPr>
      <w:r>
        <w:rPr>
          <w:rFonts w:hint="eastAsia" w:ascii="楷体" w:hAnsi="楷体" w:eastAsia="楷体"/>
          <w:sz w:val="32"/>
          <w:szCs w:val="32"/>
          <w:lang w:eastAsia="zh-CN"/>
        </w:rPr>
        <w:t>国家发改委项目：中俄地方合作规划研究（</w:t>
      </w:r>
      <w:r>
        <w:rPr>
          <w:rFonts w:hint="eastAsia" w:ascii="楷体" w:hAnsi="楷体" w:eastAsia="楷体"/>
          <w:sz w:val="32"/>
          <w:szCs w:val="32"/>
        </w:rPr>
        <w:t>《中国东北地区同俄罗斯远东及东西伯利亚地区合作规划纲要（2009～2018）》</w:t>
      </w:r>
    </w:p>
    <w:p>
      <w:pPr>
        <w:pStyle w:val="5"/>
        <w:numPr>
          <w:ilvl w:val="0"/>
          <w:numId w:val="1"/>
        </w:numPr>
        <w:spacing w:line="500" w:lineRule="exact"/>
        <w:ind w:firstLineChars="0"/>
        <w:rPr>
          <w:rFonts w:hint="eastAsia" w:ascii="楷体" w:hAnsi="楷体" w:eastAsia="楷体"/>
          <w:sz w:val="32"/>
          <w:szCs w:val="32"/>
          <w:lang w:val="en-US" w:eastAsia="zh-CN"/>
        </w:rPr>
      </w:pPr>
      <w:r>
        <w:rPr>
          <w:rFonts w:hint="eastAsia" w:ascii="楷体" w:hAnsi="楷体" w:eastAsia="楷体"/>
          <w:sz w:val="32"/>
          <w:szCs w:val="32"/>
          <w:lang w:val="en-US" w:eastAsia="zh-CN"/>
        </w:rPr>
        <w:t>编写</w:t>
      </w:r>
      <w:r>
        <w:rPr>
          <w:rFonts w:hint="eastAsia" w:ascii="楷体" w:hAnsi="楷体" w:eastAsia="楷体"/>
          <w:sz w:val="32"/>
          <w:szCs w:val="32"/>
        </w:rPr>
        <w:t>《黑龙江和内蒙古东北部地区沿边开发开放规划》</w:t>
      </w:r>
    </w:p>
    <w:p>
      <w:pPr>
        <w:pStyle w:val="5"/>
        <w:numPr>
          <w:ilvl w:val="0"/>
          <w:numId w:val="1"/>
        </w:numPr>
        <w:spacing w:line="500" w:lineRule="exact"/>
        <w:ind w:firstLineChars="0"/>
        <w:rPr>
          <w:rFonts w:hint="eastAsia" w:ascii="楷体" w:hAnsi="楷体" w:eastAsia="楷体"/>
          <w:sz w:val="32"/>
          <w:szCs w:val="32"/>
          <w:lang w:val="en-US" w:eastAsia="zh-CN"/>
        </w:rPr>
      </w:pPr>
      <w:r>
        <w:rPr>
          <w:rFonts w:hint="eastAsia" w:ascii="楷体" w:hAnsi="楷体" w:eastAsia="楷体"/>
          <w:sz w:val="32"/>
          <w:szCs w:val="32"/>
          <w:lang w:eastAsia="zh-CN"/>
        </w:rPr>
        <w:t>黑龙江</w:t>
      </w:r>
      <w:r>
        <w:rPr>
          <w:rFonts w:hint="eastAsia" w:ascii="楷体" w:hAnsi="楷体" w:eastAsia="楷体"/>
          <w:sz w:val="32"/>
          <w:szCs w:val="32"/>
        </w:rPr>
        <w:t>省“十三五”规划前期课题《“十三五”扩大以俄罗斯为重点的全方位对外开放研究》</w:t>
      </w:r>
    </w:p>
    <w:p>
      <w:pPr>
        <w:pStyle w:val="5"/>
        <w:numPr>
          <w:ilvl w:val="0"/>
          <w:numId w:val="1"/>
        </w:numPr>
        <w:spacing w:line="500" w:lineRule="exact"/>
        <w:ind w:firstLineChars="0"/>
        <w:rPr>
          <w:rFonts w:hint="eastAsia" w:ascii="楷体" w:hAnsi="楷体" w:eastAsia="楷体"/>
          <w:sz w:val="32"/>
          <w:szCs w:val="32"/>
          <w:lang w:val="en-US" w:eastAsia="zh-CN"/>
        </w:rPr>
      </w:pPr>
      <w:r>
        <w:rPr>
          <w:rFonts w:hint="eastAsia" w:ascii="楷体" w:hAnsi="楷体" w:eastAsia="楷体"/>
          <w:sz w:val="32"/>
          <w:szCs w:val="32"/>
          <w:lang w:eastAsia="zh-CN"/>
        </w:rPr>
        <w:t>哈尔滨市</w:t>
      </w:r>
      <w:r>
        <w:rPr>
          <w:rFonts w:hint="eastAsia" w:ascii="楷体" w:hAnsi="楷体" w:eastAsia="楷体"/>
          <w:sz w:val="32"/>
          <w:szCs w:val="32"/>
        </w:rPr>
        <w:t>“十三五”规划前期课题《</w:t>
      </w:r>
      <w:r>
        <w:rPr>
          <w:rFonts w:hint="eastAsia" w:ascii="楷体" w:hAnsi="楷体" w:eastAsia="楷体"/>
          <w:sz w:val="32"/>
          <w:szCs w:val="32"/>
          <w:lang w:eastAsia="zh-CN"/>
        </w:rPr>
        <w:t>哈尔滨市对俄合作产业体系</w:t>
      </w:r>
      <w:r>
        <w:rPr>
          <w:rFonts w:hint="eastAsia" w:ascii="楷体" w:hAnsi="楷体" w:eastAsia="楷体"/>
          <w:sz w:val="32"/>
          <w:szCs w:val="32"/>
        </w:rPr>
        <w:t>研究》</w:t>
      </w:r>
    </w:p>
    <w:p>
      <w:pPr>
        <w:pStyle w:val="5"/>
        <w:numPr>
          <w:ilvl w:val="0"/>
          <w:numId w:val="1"/>
        </w:numPr>
        <w:spacing w:line="500" w:lineRule="exact"/>
        <w:ind w:firstLineChars="0"/>
        <w:rPr>
          <w:rFonts w:hint="eastAsia" w:ascii="楷体" w:hAnsi="楷体" w:eastAsia="楷体"/>
          <w:sz w:val="32"/>
          <w:szCs w:val="32"/>
          <w:lang w:val="en-US" w:eastAsia="zh-CN"/>
        </w:rPr>
      </w:pPr>
      <w:r>
        <w:rPr>
          <w:rFonts w:hint="eastAsia" w:ascii="楷体" w:hAnsi="楷体" w:eastAsia="楷体"/>
          <w:sz w:val="32"/>
          <w:szCs w:val="32"/>
          <w:lang w:eastAsia="zh-CN"/>
        </w:rPr>
        <w:t>哈尔滨市</w:t>
      </w:r>
      <w:r>
        <w:rPr>
          <w:rFonts w:hint="eastAsia" w:ascii="楷体" w:hAnsi="楷体" w:eastAsia="楷体"/>
          <w:sz w:val="32"/>
          <w:szCs w:val="32"/>
        </w:rPr>
        <w:t>“十三五”规划前期课题《“十三五”</w:t>
      </w:r>
      <w:r>
        <w:rPr>
          <w:rFonts w:hint="eastAsia" w:ascii="楷体" w:hAnsi="楷体" w:eastAsia="楷体"/>
          <w:sz w:val="32"/>
          <w:szCs w:val="32"/>
          <w:lang w:eastAsia="zh-CN"/>
        </w:rPr>
        <w:t>建设对合作中心城市战略</w:t>
      </w:r>
      <w:r>
        <w:rPr>
          <w:rFonts w:hint="eastAsia" w:ascii="楷体" w:hAnsi="楷体" w:eastAsia="楷体"/>
          <w:sz w:val="32"/>
          <w:szCs w:val="32"/>
        </w:rPr>
        <w:t>研究》</w:t>
      </w:r>
    </w:p>
    <w:p>
      <w:pPr>
        <w:pStyle w:val="5"/>
        <w:numPr>
          <w:ilvl w:val="0"/>
          <w:numId w:val="1"/>
        </w:numPr>
        <w:spacing w:line="500" w:lineRule="exact"/>
        <w:ind w:firstLineChars="0"/>
        <w:rPr>
          <w:rFonts w:hint="eastAsia" w:ascii="楷体" w:hAnsi="楷体" w:eastAsia="楷体"/>
          <w:sz w:val="32"/>
          <w:szCs w:val="32"/>
        </w:rPr>
      </w:pPr>
      <w:r>
        <w:rPr>
          <w:rFonts w:hint="eastAsia" w:ascii="楷体" w:hAnsi="楷体" w:eastAsia="楷体"/>
          <w:sz w:val="32"/>
          <w:szCs w:val="32"/>
          <w:lang w:eastAsia="zh-CN"/>
        </w:rPr>
        <w:t>黑河市</w:t>
      </w:r>
      <w:r>
        <w:rPr>
          <w:rFonts w:hint="eastAsia" w:ascii="楷体" w:hAnsi="楷体" w:eastAsia="楷体"/>
          <w:sz w:val="32"/>
          <w:szCs w:val="32"/>
        </w:rPr>
        <w:t>“十三五”规划前期课题《</w:t>
      </w:r>
      <w:r>
        <w:rPr>
          <w:rFonts w:hint="eastAsia" w:ascii="楷体" w:hAnsi="楷体" w:eastAsia="楷体"/>
          <w:sz w:val="32"/>
          <w:szCs w:val="32"/>
          <w:lang w:eastAsia="zh-CN"/>
        </w:rPr>
        <w:t>黑河市国民经济和社会发展第十三个五年规划基本思路</w:t>
      </w:r>
      <w:r>
        <w:rPr>
          <w:rFonts w:hint="eastAsia" w:ascii="楷体" w:hAnsi="楷体" w:eastAsia="楷体"/>
          <w:sz w:val="32"/>
          <w:szCs w:val="32"/>
        </w:rPr>
        <w:t>》</w:t>
      </w:r>
    </w:p>
    <w:p>
      <w:pPr>
        <w:pStyle w:val="5"/>
        <w:numPr>
          <w:ilvl w:val="0"/>
          <w:numId w:val="1"/>
        </w:numPr>
        <w:spacing w:line="500" w:lineRule="exact"/>
        <w:ind w:firstLineChars="0"/>
        <w:rPr>
          <w:rFonts w:hint="eastAsia" w:ascii="楷体" w:hAnsi="楷体" w:eastAsia="楷体"/>
          <w:sz w:val="32"/>
          <w:szCs w:val="32"/>
        </w:rPr>
      </w:pPr>
      <w:r>
        <w:rPr>
          <w:rFonts w:hint="eastAsia" w:ascii="楷体" w:hAnsi="楷体" w:eastAsia="楷体"/>
          <w:sz w:val="32"/>
          <w:szCs w:val="32"/>
        </w:rPr>
        <w:t>哈尔滨市科技攻关项目《基于沿边开放战略的哈尔滨市对外科技合作对策研究》（2014AC9QT001）</w:t>
      </w:r>
    </w:p>
    <w:p>
      <w:pPr>
        <w:pStyle w:val="5"/>
        <w:numPr>
          <w:ilvl w:val="0"/>
          <w:numId w:val="1"/>
        </w:numPr>
        <w:spacing w:line="500" w:lineRule="exact"/>
        <w:ind w:firstLineChars="0"/>
        <w:rPr>
          <w:rFonts w:hint="eastAsia" w:ascii="楷体" w:hAnsi="楷体" w:eastAsia="楷体"/>
          <w:sz w:val="32"/>
          <w:szCs w:val="32"/>
        </w:rPr>
      </w:pPr>
      <w:r>
        <w:rPr>
          <w:rFonts w:hint="eastAsia" w:ascii="楷体" w:hAnsi="楷体" w:eastAsia="楷体"/>
          <w:sz w:val="32"/>
          <w:szCs w:val="32"/>
          <w:lang w:eastAsia="zh-CN"/>
        </w:rPr>
        <w:t>黑龙江省经济社会发展重点研究课题：黑龙江省黑瞎子岛设立陆路口岸及开发的对策研究</w:t>
      </w:r>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佳木斯对俄产业园区发展规划</w:t>
      </w:r>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牡丹江对俄合作先导区发展规划</w:t>
      </w:r>
      <w:bookmarkStart w:id="0" w:name="_GoBack"/>
      <w:bookmarkEnd w:id="0"/>
    </w:p>
    <w:p>
      <w:pPr>
        <w:pStyle w:val="5"/>
        <w:numPr>
          <w:ilvl w:val="0"/>
          <w:numId w:val="1"/>
        </w:numPr>
        <w:spacing w:line="500" w:lineRule="exact"/>
        <w:ind w:firstLineChars="0"/>
        <w:rPr>
          <w:rFonts w:ascii="楷体" w:hAnsi="楷体" w:eastAsia="楷体"/>
          <w:sz w:val="32"/>
          <w:szCs w:val="32"/>
        </w:rPr>
      </w:pPr>
      <w:r>
        <w:rPr>
          <w:rFonts w:hint="eastAsia" w:ascii="楷体" w:hAnsi="楷体" w:eastAsia="楷体"/>
          <w:sz w:val="32"/>
          <w:szCs w:val="32"/>
        </w:rPr>
        <w:t>东宁中俄地方产业合作示范基地发展规划</w:t>
      </w:r>
    </w:p>
    <w:p>
      <w:pPr>
        <w:pStyle w:val="5"/>
        <w:numPr>
          <w:ilvl w:val="0"/>
          <w:numId w:val="1"/>
        </w:numPr>
        <w:spacing w:line="500" w:lineRule="exact"/>
        <w:ind w:firstLineChars="0"/>
        <w:rPr>
          <w:rFonts w:hint="eastAsia" w:ascii="楷体" w:hAnsi="楷体" w:eastAsia="楷体"/>
          <w:sz w:val="32"/>
          <w:szCs w:val="32"/>
        </w:rPr>
      </w:pPr>
      <w:r>
        <w:rPr>
          <w:rFonts w:hint="eastAsia" w:ascii="楷体" w:hAnsi="楷体" w:eastAsia="楷体"/>
          <w:sz w:val="32"/>
          <w:szCs w:val="32"/>
          <w:lang w:eastAsia="zh-CN"/>
        </w:rPr>
        <w:t>穆棱市产业发展规划</w:t>
      </w:r>
    </w:p>
    <w:p>
      <w:pPr>
        <w:spacing w:line="500" w:lineRule="exact"/>
        <w:ind w:firstLine="640" w:firstLineChars="200"/>
        <w:rPr>
          <w:rFonts w:hint="eastAsia" w:ascii="楷体" w:hAnsi="楷体" w:eastAsia="楷体"/>
          <w:sz w:val="32"/>
          <w:szCs w:val="32"/>
        </w:rPr>
      </w:pPr>
      <w:r>
        <w:rPr>
          <w:rFonts w:hint="eastAsia" w:ascii="楷体" w:hAnsi="楷体" w:eastAsia="楷体"/>
          <w:b/>
          <w:bCs/>
          <w:sz w:val="32"/>
          <w:szCs w:val="32"/>
        </w:rPr>
        <w:t>中央和省、市领导对课题组主要建议的批示和落实情况</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1．中央政治局常委、国务院常务副总理张高丽就东宁危化品口岸及物流园区建议做出批示并被采纳。政治局常委对《在东宁建危化品口岸及物流园区建议》批示.2013年8月2日日新华社记者高淑华、管建涛对建危化品口岸及物流园区问题对宋魁等采访后发表于“内参清样”第NC464期，政治局常委、国务院常务副总理张高丽批示：“请相关部门研酌。”</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 xml:space="preserve">8月9日在东宁召开了由《中国石油石化》杂志社、中国人民大学环境与经济研究院和黑龙江当代中俄区域经济研究院主办，东宁县政府承办的《东宁危化品口岸及物流园区国际研讨会》，宋魁教授主持会议。黑龙江省副省长孙尧、牡丹江市委书记张晶川、《中国石油石化》杂志社社长耿清志、中国人民大学环境与经济研究院院长宋国君，铁道部危化品专用线专家冯祥林，省地铁集团副总皮振林、黑龙江运能公司董事长王作民、东宁县委书记孙永先、县长孙吉舜、俄罗斯符拉迪沃斯托克物流总公司副总经理谢尔盖、俄滨海边疆区老战士基金会会长斯拉瓦等参会并讲话。  </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国家质检总局为落实张高丽批示，9月11日在东宁口岸召开了建设危化口岸研讨会。总局通关司口岸处齐处长和5位专家到会进行研讨。目前项目正在推进之中，已有浙江工贸、哈尔滨诺林化工等6家企业表达联合推进意愿。项目建成后，可增加贸易额50亿美元，引进中俄石化企业40家以上，吸引投资400亿元以上，可形成继大庆之后的又一石化产品集散地。</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2．《关于建立中俄航空航天产业园的建议》，黑龙江省老科学技术工作者协会：《特邀老专家建议》，2014年第17期(7月11日)发表, 7月11日省委常委省委秘书长李海涛批示:“请宪魁同志审示。”省委书记王宪魁批示：“好事。”7月12日市经开区副主任孙铁利与孙东宣、韦华局长到研究院会谈，达成共识：1.经开区与研究院签订合作协议。2.就此项目和台湾食品工业园等项目展开合作。7月12日省委常委省委秘书长李海涛批示:“请亚枫同志审阅批示。”7月14日省委常委、哈尔滨市委书记林铎批示：“请市政府研究，在省政府的具体部署下，推动我市航空航天领域的合作，特别是飞机制造项目的落实。”7月16日主管工业副省长胡亚枫批示：“请工信委会同科技厅组织论证提出建议意见。” 已被省委省政府采纳，7月22日省工信委装备处郑兴勤处长与老科协李秘书长等到研究院商谈落实推进事宜。7月29日在省工信委4楼会议室召开会议研究“黑龙江省推进中俄航空航天产业园工作方案”省工信委副主任方安儒、省工信委装备处处长郑兴勤、哈尔滨市工信委副主任史殿强、装备处长王欣敬、当代中俄研究院院长省社科院研究员宋魁、当代中俄研究院项目咨询所所长王秉刚等参加了会议。8月7日在省工信委502会议室会议研究“黑龙江省推进中俄航空航天产业园相关项目”省工信委装备处处长郑兴勤、省科技厅对外合作处处长刘金、省科技厅产业化中心主任张晓东、哈尔滨市工信委装备处长王欣敬、哈经开区总经济师魏文征、对俄合作局邵钰晶、哈飞集团设计所所长、经营管理部部长刘维儉、龙江特种装备公司副总于波、当代中俄研究院院长宋魁等参加会议。8月15日省工信委装备处处长郑兴勤等一行3人去山东海翔集团就此项目招商。项目已被编入黑龙江省人民政府《推进陆海丝绸之路经济带建设工作方案》，正在推进中。省委书记王宪魁、省委常委李海涛、副省长胡亚枫等就《关于在哈市建立中俄航空航天产业园的建议》做出批示。</w:t>
      </w:r>
      <w:r>
        <w:rPr>
          <w:rFonts w:hint="eastAsia" w:ascii="楷体" w:hAnsi="楷体" w:eastAsia="楷体"/>
          <w:sz w:val="32"/>
          <w:szCs w:val="32"/>
        </w:rPr>
        <w:br w:type="textWrapping"/>
      </w:r>
      <w:r>
        <w:rPr>
          <w:rFonts w:hint="eastAsia" w:ascii="楷体" w:hAnsi="楷体" w:eastAsia="楷体"/>
          <w:sz w:val="32"/>
          <w:szCs w:val="32"/>
        </w:rPr>
        <w:t xml:space="preserve">    3.《关于把哈尔滨打造成对俄合作九大中心的建议》，黑龙江省老科学技术工作者协会：《特邀老专家建议》，2015年1月12日第22期(1月12日)发表。1月14日省委常委、宣传部长张效廉批示：“宋魁同志建议很有见地和可行性，送海波、希斌同志参阅。”</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4.《关于建立中俄文化中心的建议》，黑龙江省老科学技术工作者协会：《特约老专家建议》，2014年第18期(10月27日)发表,31日省委常委宣传部长张效廉批示：“请德信商丽欣同志阅研。”主管副省长孙尧批示:“请省旅游局领导班子和哈尔滨市旅游局、市文旅集团主要领导阅研。”</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 xml:space="preserve">5.《关于发展菇娘产业的建议》3000字，黑龙江省老科学技术工作者协会：《特邀老专家建议》，2014年第20期（12月1日）。2015年1月31日哈尔滨市市长宋希斌批示: “请工信委研”。 </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6.《关于漠河口岸复关的建议》3000字，黑龙江省老科学技术工作者协会：《特邀老专家建议》，2015年第25期（3月18日）。3月23日主管副省长孙尧批示:“前期已在争取国家口岸办支持并与俄方对接。请省商务厅、口岸办和大兴安岭地区参阅并进一步推动洛古河和兴安口岸的开通。”</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rPr>
        <w:t>7. 《关于组建“哈尔滨国际机器人应用研发和示范中心”的建议》，黑龙江省老科学技术工作者协会：《离退休学者建言》，2015年第10期（4月16日）。4月17日省委常委哈尔滨市委书记陈海波批示:“送请市政府阅参。” 4月22日副省长胡亚枫批示: “请孙珅、廷双、杰才、付滨阅研，工大机器人集团阅。”</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lang w:val="en-US" w:eastAsia="zh-CN"/>
        </w:rPr>
        <w:t>8.</w:t>
      </w:r>
      <w:r>
        <w:rPr>
          <w:rFonts w:hint="eastAsia" w:ascii="楷体" w:hAnsi="楷体" w:eastAsia="楷体"/>
          <w:sz w:val="32"/>
          <w:szCs w:val="32"/>
        </w:rPr>
        <w:t xml:space="preserve">《关于把黑瞎子岛打造成自由旅游岛的建议》3000字，黑龙江省老科学技术工作者协会：《特邀老专家建议》，2015年第27期（6月12日）。6月16日省委常委、宣传部长张效廉批示：宋魁同志的建议很有建树，有参考价值。请孙尧同志阅研。” 6月16日省委常委、省委秘书长李海涛批示: “请周宏、子通同志阅研。” </w:t>
      </w:r>
    </w:p>
    <w:p>
      <w:pPr>
        <w:spacing w:line="500" w:lineRule="exact"/>
        <w:ind w:firstLine="640" w:firstLineChars="200"/>
        <w:rPr>
          <w:rFonts w:hint="eastAsia" w:ascii="楷体" w:hAnsi="楷体" w:eastAsia="楷体"/>
          <w:sz w:val="32"/>
          <w:szCs w:val="32"/>
        </w:rPr>
      </w:pPr>
      <w:r>
        <w:rPr>
          <w:rFonts w:hint="eastAsia" w:ascii="楷体" w:hAnsi="楷体" w:eastAsia="楷体"/>
          <w:sz w:val="32"/>
          <w:szCs w:val="32"/>
          <w:lang w:val="en-US" w:eastAsia="zh-CN"/>
        </w:rPr>
        <w:t>9</w:t>
      </w:r>
      <w:r>
        <w:rPr>
          <w:rFonts w:hint="eastAsia" w:ascii="楷体" w:hAnsi="楷体" w:eastAsia="楷体"/>
          <w:sz w:val="32"/>
          <w:szCs w:val="32"/>
        </w:rPr>
        <w:t>. 《关于设立哈尔滨符拉迪沃斯托克跨境自由贸易区的建议》3000字，黑龙江省老科学技术工作者协会：《特邀老专家建议》，2015年第30期（8月18日）。2015年8月20日省委常委、省委秘书长李海涛对此建议作出批示: “丝路办介林同志阅研”。</w:t>
      </w:r>
    </w:p>
    <w:p>
      <w:pPr>
        <w:spacing w:line="500" w:lineRule="exact"/>
        <w:ind w:firstLine="640" w:firstLineChars="200"/>
        <w:rPr>
          <w:rFonts w:hint="eastAsia" w:ascii="楷体" w:hAnsi="楷体" w:eastAsia="楷体"/>
          <w:sz w:val="32"/>
          <w:szCs w:val="32"/>
          <w:lang w:eastAsia="zh-CN"/>
        </w:rPr>
      </w:pPr>
      <w:r>
        <w:rPr>
          <w:rFonts w:hint="eastAsia" w:ascii="楷体" w:hAnsi="楷体" w:eastAsia="楷体"/>
          <w:sz w:val="32"/>
          <w:szCs w:val="32"/>
          <w:lang w:val="en-US" w:eastAsia="zh-CN"/>
        </w:rPr>
        <w:t>10.《</w:t>
      </w:r>
      <w:r>
        <w:rPr>
          <w:rFonts w:hint="eastAsia" w:ascii="楷体" w:hAnsi="楷体" w:eastAsia="楷体"/>
          <w:sz w:val="32"/>
          <w:szCs w:val="32"/>
        </w:rPr>
        <w:t>关于发展互联网+中俄跨境电子商务的建议》500</w:t>
      </w:r>
      <w:r>
        <w:rPr>
          <w:rFonts w:hint="eastAsia" w:ascii="楷体" w:hAnsi="楷体" w:eastAsia="楷体"/>
          <w:sz w:val="32"/>
          <w:szCs w:val="32"/>
          <w:lang w:val="en-US" w:eastAsia="zh-CN"/>
        </w:rPr>
        <w:t>0</w:t>
      </w:r>
      <w:r>
        <w:rPr>
          <w:rFonts w:hint="eastAsia" w:ascii="楷体" w:hAnsi="楷体" w:eastAsia="楷体"/>
          <w:sz w:val="32"/>
          <w:szCs w:val="32"/>
        </w:rPr>
        <w:t>字，黑龙江省科技经济顾问委员会：《决策建议》201</w:t>
      </w:r>
      <w:r>
        <w:rPr>
          <w:rFonts w:hint="eastAsia" w:ascii="楷体" w:hAnsi="楷体" w:eastAsia="楷体"/>
          <w:sz w:val="32"/>
          <w:szCs w:val="32"/>
          <w:lang w:val="en-US" w:eastAsia="zh-CN"/>
        </w:rPr>
        <w:t>5</w:t>
      </w:r>
      <w:r>
        <w:rPr>
          <w:rFonts w:hint="eastAsia" w:ascii="楷体" w:hAnsi="楷体" w:eastAsia="楷体"/>
          <w:sz w:val="32"/>
          <w:szCs w:val="32"/>
        </w:rPr>
        <w:t>第</w:t>
      </w:r>
      <w:r>
        <w:rPr>
          <w:rFonts w:hint="eastAsia" w:ascii="楷体" w:hAnsi="楷体" w:eastAsia="楷体"/>
          <w:sz w:val="32"/>
          <w:szCs w:val="32"/>
          <w:lang w:val="en-US" w:eastAsia="zh-CN"/>
        </w:rPr>
        <w:t>23</w:t>
      </w:r>
      <w:r>
        <w:rPr>
          <w:rFonts w:hint="eastAsia" w:ascii="楷体" w:hAnsi="楷体" w:eastAsia="楷体"/>
          <w:sz w:val="32"/>
          <w:szCs w:val="32"/>
        </w:rPr>
        <w:t>期（</w:t>
      </w:r>
      <w:r>
        <w:rPr>
          <w:rFonts w:hint="eastAsia" w:ascii="楷体" w:hAnsi="楷体" w:eastAsia="楷体"/>
          <w:sz w:val="32"/>
          <w:szCs w:val="32"/>
          <w:lang w:val="en-US" w:eastAsia="zh-CN"/>
        </w:rPr>
        <w:t>8</w:t>
      </w:r>
      <w:r>
        <w:rPr>
          <w:rFonts w:hint="eastAsia" w:ascii="楷体" w:hAnsi="楷体" w:eastAsia="楷体"/>
          <w:sz w:val="32"/>
          <w:szCs w:val="32"/>
        </w:rPr>
        <w:t>月</w:t>
      </w:r>
      <w:r>
        <w:rPr>
          <w:rFonts w:hint="eastAsia" w:ascii="楷体" w:hAnsi="楷体" w:eastAsia="楷体"/>
          <w:sz w:val="32"/>
          <w:szCs w:val="32"/>
          <w:lang w:val="en-US" w:eastAsia="zh-CN"/>
        </w:rPr>
        <w:t>31</w:t>
      </w:r>
      <w:r>
        <w:rPr>
          <w:rFonts w:hint="eastAsia" w:ascii="楷体" w:hAnsi="楷体" w:eastAsia="楷体"/>
          <w:sz w:val="32"/>
          <w:szCs w:val="32"/>
        </w:rPr>
        <w:t>日）</w:t>
      </w:r>
      <w:r>
        <w:rPr>
          <w:rFonts w:hint="eastAsia" w:ascii="楷体" w:hAnsi="楷体" w:eastAsia="楷体"/>
          <w:sz w:val="32"/>
          <w:szCs w:val="32"/>
          <w:lang w:eastAsia="zh-CN"/>
        </w:rPr>
        <w:t>。</w:t>
      </w:r>
    </w:p>
    <w:p>
      <w:pPr>
        <w:spacing w:line="500" w:lineRule="exact"/>
        <w:ind w:firstLine="640" w:firstLineChars="200"/>
        <w:rPr>
          <w:rFonts w:hint="eastAsia" w:ascii="仿宋_GB2312" w:hAnsi="仿宋_GB2312" w:eastAsia="仿宋_GB2312" w:cs="仿宋_GB2312"/>
          <w:kern w:val="1"/>
          <w:sz w:val="28"/>
          <w:szCs w:val="28"/>
        </w:rPr>
      </w:pPr>
      <w:r>
        <w:rPr>
          <w:rFonts w:hint="eastAsia" w:ascii="楷体" w:hAnsi="楷体" w:eastAsia="楷体"/>
          <w:sz w:val="32"/>
          <w:szCs w:val="32"/>
          <w:lang w:val="en-US" w:eastAsia="zh-CN"/>
        </w:rPr>
        <w:t>11.《</w:t>
      </w:r>
      <w:r>
        <w:rPr>
          <w:rFonts w:hint="eastAsia" w:ascii="楷体" w:hAnsi="楷体" w:eastAsia="楷体"/>
          <w:sz w:val="32"/>
          <w:szCs w:val="32"/>
        </w:rPr>
        <w:t>关于设立绥芬河波格拉尼奇内跨境自贸区的建议》</w:t>
      </w:r>
      <w:r>
        <w:rPr>
          <w:rFonts w:hint="eastAsia" w:ascii="楷体" w:hAnsi="楷体" w:eastAsia="楷体"/>
          <w:sz w:val="32"/>
          <w:szCs w:val="32"/>
          <w:lang w:val="en-US" w:eastAsia="zh-CN"/>
        </w:rPr>
        <w:t>3</w:t>
      </w:r>
      <w:r>
        <w:rPr>
          <w:rFonts w:hint="eastAsia" w:ascii="楷体" w:hAnsi="楷体" w:eastAsia="楷体"/>
          <w:sz w:val="32"/>
          <w:szCs w:val="32"/>
        </w:rPr>
        <w:t>00</w:t>
      </w:r>
      <w:r>
        <w:rPr>
          <w:rFonts w:hint="eastAsia" w:ascii="楷体" w:hAnsi="楷体" w:eastAsia="楷体"/>
          <w:sz w:val="32"/>
          <w:szCs w:val="32"/>
          <w:lang w:val="en-US" w:eastAsia="zh-CN"/>
        </w:rPr>
        <w:t>0</w:t>
      </w:r>
      <w:r>
        <w:rPr>
          <w:rFonts w:hint="eastAsia" w:ascii="楷体" w:hAnsi="楷体" w:eastAsia="楷体"/>
          <w:sz w:val="32"/>
          <w:szCs w:val="32"/>
        </w:rPr>
        <w:t>字，黑龙江省科技经济顾问委员会：《决策建议》201</w:t>
      </w:r>
      <w:r>
        <w:rPr>
          <w:rFonts w:hint="eastAsia" w:ascii="楷体" w:hAnsi="楷体" w:eastAsia="楷体"/>
          <w:sz w:val="32"/>
          <w:szCs w:val="32"/>
          <w:lang w:val="en-US" w:eastAsia="zh-CN"/>
        </w:rPr>
        <w:t>5</w:t>
      </w:r>
      <w:r>
        <w:rPr>
          <w:rFonts w:hint="eastAsia" w:ascii="楷体" w:hAnsi="楷体" w:eastAsia="楷体"/>
          <w:sz w:val="32"/>
          <w:szCs w:val="32"/>
        </w:rPr>
        <w:t>第</w:t>
      </w:r>
      <w:r>
        <w:rPr>
          <w:rFonts w:hint="eastAsia" w:ascii="楷体" w:hAnsi="楷体" w:eastAsia="楷体"/>
          <w:sz w:val="32"/>
          <w:szCs w:val="32"/>
          <w:lang w:val="en-US" w:eastAsia="zh-CN"/>
        </w:rPr>
        <w:t>24</w:t>
      </w:r>
      <w:r>
        <w:rPr>
          <w:rFonts w:hint="eastAsia" w:ascii="楷体" w:hAnsi="楷体" w:eastAsia="楷体"/>
          <w:sz w:val="32"/>
          <w:szCs w:val="32"/>
        </w:rPr>
        <w:t>期（</w:t>
      </w:r>
      <w:r>
        <w:rPr>
          <w:rFonts w:hint="eastAsia" w:ascii="楷体" w:hAnsi="楷体" w:eastAsia="楷体"/>
          <w:sz w:val="32"/>
          <w:szCs w:val="32"/>
          <w:lang w:val="en-US" w:eastAsia="zh-CN"/>
        </w:rPr>
        <w:t>8</w:t>
      </w:r>
      <w:r>
        <w:rPr>
          <w:rFonts w:hint="eastAsia" w:ascii="楷体" w:hAnsi="楷体" w:eastAsia="楷体"/>
          <w:sz w:val="32"/>
          <w:szCs w:val="32"/>
        </w:rPr>
        <w:t>月</w:t>
      </w:r>
      <w:r>
        <w:rPr>
          <w:rFonts w:hint="eastAsia" w:ascii="楷体" w:hAnsi="楷体" w:eastAsia="楷体"/>
          <w:sz w:val="32"/>
          <w:szCs w:val="32"/>
          <w:lang w:val="en-US" w:eastAsia="zh-CN"/>
        </w:rPr>
        <w:t>31</w:t>
      </w:r>
      <w:r>
        <w:rPr>
          <w:rFonts w:hint="eastAsia" w:ascii="楷体" w:hAnsi="楷体" w:eastAsia="楷体"/>
          <w:sz w:val="32"/>
          <w:szCs w:val="32"/>
        </w:rPr>
        <w:t>日）</w:t>
      </w:r>
      <w:r>
        <w:rPr>
          <w:rFonts w:hint="eastAsia" w:ascii="楷体" w:hAnsi="楷体" w:eastAsia="楷体"/>
          <w:sz w:val="32"/>
          <w:szCs w:val="32"/>
          <w:lang w:eastAsia="zh-CN"/>
        </w:rPr>
        <w:t>。</w:t>
      </w:r>
    </w:p>
    <w:p>
      <w:pPr>
        <w:ind w:firstLine="420"/>
        <w:rPr>
          <w:rFonts w:hint="eastAsia" w:ascii="仿宋_GB2312" w:eastAsia="仿宋_GB2312"/>
          <w:sz w:val="28"/>
          <w:szCs w:val="28"/>
        </w:rPr>
      </w:pPr>
    </w:p>
    <w:p>
      <w:pPr>
        <w:rPr>
          <w:rFonts w:hint="eastAsia" w:ascii="仿宋_GB2312" w:eastAsia="仿宋_GB2312"/>
          <w:sz w:val="28"/>
          <w:szCs w:val="28"/>
        </w:rPr>
      </w:pPr>
    </w:p>
    <w:p>
      <w:pPr/>
    </w:p>
    <w:p>
      <w:pPr/>
    </w:p>
    <w:p>
      <w:pPr>
        <w:rPr>
          <w:rFonts w:hint="eastAsia" w:ascii="楷体" w:hAnsi="楷体" w:eastAsia="楷体"/>
          <w:sz w:val="32"/>
          <w:szCs w:val="32"/>
          <w:lang w:val="en-US" w:eastAsia="zh-CN"/>
        </w:rPr>
      </w:pPr>
      <w:r>
        <w:rPr>
          <w:rFonts w:hint="eastAsia"/>
          <w:lang w:val="en-US" w:eastAsia="zh-CN"/>
        </w:rPr>
        <w:t xml:space="preserve">                                          </w:t>
      </w:r>
      <w:r>
        <w:rPr>
          <w:rFonts w:hint="eastAsia" w:ascii="楷体" w:hAnsi="楷体" w:eastAsia="楷体"/>
          <w:sz w:val="32"/>
          <w:szCs w:val="32"/>
          <w:lang w:val="en-US" w:eastAsia="zh-CN"/>
        </w:rPr>
        <w:t xml:space="preserve">   2015年12月15日</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swiss"/>
    <w:pitch w:val="default"/>
    <w:sig w:usb0="800002BF" w:usb1="38CF7CFA" w:usb2="00000016" w:usb3="00000000" w:csb0="00040001" w:csb1="00000000"/>
  </w:font>
  <w:font w:name="黑体">
    <w:panose1 w:val="02010609060101010101"/>
    <w:charset w:val="86"/>
    <w:family w:val="swiss"/>
    <w:pitch w:val="default"/>
    <w:sig w:usb0="800002BF" w:usb1="38CF7CFA" w:usb2="00000016" w:usb3="00000000" w:csb0="00040001" w:csb1="00000000"/>
  </w:font>
  <w:font w:name="仿宋">
    <w:panose1 w:val="02010609060101010101"/>
    <w:charset w:val="86"/>
    <w:family w:val="roman"/>
    <w:pitch w:val="default"/>
    <w:sig w:usb0="800002BF" w:usb1="38CF7CFA" w:usb2="00000016" w:usb3="00000000" w:csb0="00040001" w:csb1="00000000"/>
  </w:font>
  <w:font w:name="??">
    <w:altName w:val="Times New Roman"/>
    <w:panose1 w:val="00000000000000000000"/>
    <w:charset w:val="00"/>
    <w:family w:val="auto"/>
    <w:pitch w:val="default"/>
    <w:sig w:usb0="00000000"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decorative"/>
    <w:pitch w:val="default"/>
    <w:sig w:usb0="800002BF" w:usb1="38CF7CFA" w:usb2="00000016" w:usb3="00000000" w:csb0="00040001" w:csb1="00000000"/>
  </w:font>
  <w:font w:name="FangSong_GB2312">
    <w:altName w:val="仿宋"/>
    <w:panose1 w:val="00000000000000000000"/>
    <w:charset w:val="86"/>
    <w:family w:val="auto"/>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仿宋_GB2312">
    <w:altName w:val="仿宋"/>
    <w:panose1 w:val="02010609030101010101"/>
    <w:charset w:val="86"/>
    <w:family w:val="decorative"/>
    <w:pitch w:val="default"/>
    <w:sig w:usb0="00000000" w:usb1="00000000" w:usb2="00000010" w:usb3="00000000" w:csb0="00040000" w:csb1="00000000"/>
  </w:font>
  <w:font w:name="仿宋_GB2312">
    <w:altName w:val="仿宋"/>
    <w:panose1 w:val="02010609030101010101"/>
    <w:charset w:val="86"/>
    <w:family w:val="roma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swiss"/>
    <w:pitch w:val="default"/>
    <w:sig w:usb0="00000000" w:usb1="00000000" w:usb2="00000010" w:usb3="00000000" w:csb0="00040000" w:csb1="00000000"/>
  </w:font>
  <w:font w:name="仿宋">
    <w:panose1 w:val="02010609060101010101"/>
    <w:charset w:val="86"/>
    <w:family w:val="swiss"/>
    <w:pitch w:val="default"/>
    <w:sig w:usb0="800002BF" w:usb1="38CF7CFA" w:usb2="00000016" w:usb3="00000000" w:csb0="00040001" w:csb1="00000000"/>
  </w:font>
  <w:font w:name="Courier New">
    <w:panose1 w:val="02070309020205020404"/>
    <w:charset w:val="00"/>
    <w:family w:val="decorative"/>
    <w:pitch w:val="default"/>
    <w:sig w:usb0="E0002AFF" w:usb1="C0007843" w:usb2="00000009" w:usb3="00000000" w:csb0="400001FF" w:csb1="FFFF0000"/>
  </w:font>
  <w:font w:name="黑体">
    <w:panose1 w:val="02010609060101010101"/>
    <w:charset w:val="86"/>
    <w:family w:val="decorative"/>
    <w:pitch w:val="default"/>
    <w:sig w:usb0="800002BF" w:usb1="38CF7CFA" w:usb2="00000016" w:usb3="00000000" w:csb0="00040001" w:csb1="00000000"/>
  </w:font>
  <w:font w:name="楷体_GB2312">
    <w:altName w:val="楷体"/>
    <w:panose1 w:val="02010609030101010101"/>
    <w:charset w:val="86"/>
    <w:family w:val="decorative"/>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decorative"/>
    <w:pitch w:val="default"/>
    <w:sig w:usb0="800002BF" w:usb1="38CF7CFA" w:usb2="00000016" w:usb3="00000000" w:csb0="00040001" w:csb1="00000000"/>
  </w:font>
  <w:font w:name="Courier New">
    <w:panose1 w:val="02070309020205020404"/>
    <w:charset w:val="00"/>
    <w:family w:val="roman"/>
    <w:pitch w:val="default"/>
    <w:sig w:usb0="E0002AFF" w:usb1="C0007843" w:usb2="00000009" w:usb3="00000000" w:csb0="400001FF" w:csb1="FFFF0000"/>
  </w:font>
  <w:font w:name="黑体">
    <w:panose1 w:val="02010609060101010101"/>
    <w:charset w:val="86"/>
    <w:family w:val="roman"/>
    <w:pitch w:val="default"/>
    <w:sig w:usb0="800002BF" w:usb1="38CF7CFA" w:usb2="00000016" w:usb3="00000000" w:csb0="00040001" w:csb1="00000000"/>
  </w:font>
  <w:font w:name="楷体_GB2312">
    <w:altName w:val="楷体"/>
    <w:panose1 w:val="02010609030101010101"/>
    <w:charset w:val="86"/>
    <w:family w:val="roman"/>
    <w:pitch w:val="default"/>
    <w:sig w:usb0="00000000" w:usb1="00000000" w:usb2="00000010" w:usb3="00000000" w:csb0="00040000" w:csb1="00000000"/>
  </w:font>
  <w:font w:name="楷体">
    <w:panose1 w:val="02010609060101010101"/>
    <w:charset w:val="86"/>
    <w:family w:val="roma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ourier New">
    <w:panose1 w:val="02070309020205020404"/>
    <w:charset w:val="00"/>
    <w:family w:val="modern"/>
    <w:pitch w:val="default"/>
    <w:sig w:usb0="E0002AFF" w:usb1="C0007843" w:usb2="00000009" w:usb3="00000000" w:csb0="400001FF" w:csb1="FFFF0000"/>
  </w:font>
  <w:font w:name="黑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swiss"/>
    <w:pitch w:val="default"/>
    <w:sig w:usb0="E0002AFF" w:usb1="C0007843" w:usb2="00000009" w:usb3="00000000" w:csb0="400001FF" w:csb1="FFFF0000"/>
  </w:font>
  <w:font w:name="楷体_GB2312">
    <w:altName w:val="楷体"/>
    <w:panose1 w:val="02010609030101010101"/>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61159098">
    <w:nsid w:val="630346BA"/>
    <w:multiLevelType w:val="multilevel"/>
    <w:tmpl w:val="630346BA"/>
    <w:lvl w:ilvl="0" w:tentative="1">
      <w:start w:val="1"/>
      <w:numFmt w:val="bullet"/>
      <w:lvlText w:val=""/>
      <w:lvlJc w:val="left"/>
      <w:pPr>
        <w:ind w:left="1060" w:hanging="420"/>
      </w:pPr>
      <w:rPr>
        <w:rFonts w:hint="default" w:ascii="Wingdings" w:hAnsi="Wingdings"/>
      </w:rPr>
    </w:lvl>
    <w:lvl w:ilvl="1" w:tentative="1">
      <w:start w:val="1"/>
      <w:numFmt w:val="bullet"/>
      <w:lvlText w:val=""/>
      <w:lvlJc w:val="left"/>
      <w:pPr>
        <w:ind w:left="1480" w:hanging="420"/>
      </w:pPr>
      <w:rPr>
        <w:rFonts w:hint="default" w:ascii="Wingdings" w:hAnsi="Wingdings"/>
      </w:rPr>
    </w:lvl>
    <w:lvl w:ilvl="2" w:tentative="1">
      <w:start w:val="1"/>
      <w:numFmt w:val="bullet"/>
      <w:lvlText w:val=""/>
      <w:lvlJc w:val="left"/>
      <w:pPr>
        <w:ind w:left="1900" w:hanging="420"/>
      </w:pPr>
      <w:rPr>
        <w:rFonts w:hint="default" w:ascii="Wingdings" w:hAnsi="Wingdings"/>
      </w:rPr>
    </w:lvl>
    <w:lvl w:ilvl="3" w:tentative="1">
      <w:start w:val="1"/>
      <w:numFmt w:val="bullet"/>
      <w:lvlText w:val=""/>
      <w:lvlJc w:val="left"/>
      <w:pPr>
        <w:ind w:left="2320" w:hanging="420"/>
      </w:pPr>
      <w:rPr>
        <w:rFonts w:hint="default" w:ascii="Wingdings" w:hAnsi="Wingdings"/>
      </w:rPr>
    </w:lvl>
    <w:lvl w:ilvl="4" w:tentative="1">
      <w:start w:val="1"/>
      <w:numFmt w:val="bullet"/>
      <w:lvlText w:val=""/>
      <w:lvlJc w:val="left"/>
      <w:pPr>
        <w:ind w:left="2740" w:hanging="420"/>
      </w:pPr>
      <w:rPr>
        <w:rFonts w:hint="default" w:ascii="Wingdings" w:hAnsi="Wingdings"/>
      </w:rPr>
    </w:lvl>
    <w:lvl w:ilvl="5" w:tentative="1">
      <w:start w:val="1"/>
      <w:numFmt w:val="bullet"/>
      <w:lvlText w:val=""/>
      <w:lvlJc w:val="left"/>
      <w:pPr>
        <w:ind w:left="3160" w:hanging="420"/>
      </w:pPr>
      <w:rPr>
        <w:rFonts w:hint="default" w:ascii="Wingdings" w:hAnsi="Wingdings"/>
      </w:rPr>
    </w:lvl>
    <w:lvl w:ilvl="6" w:tentative="1">
      <w:start w:val="1"/>
      <w:numFmt w:val="bullet"/>
      <w:lvlText w:val=""/>
      <w:lvlJc w:val="left"/>
      <w:pPr>
        <w:ind w:left="3580" w:hanging="420"/>
      </w:pPr>
      <w:rPr>
        <w:rFonts w:hint="default" w:ascii="Wingdings" w:hAnsi="Wingdings"/>
      </w:rPr>
    </w:lvl>
    <w:lvl w:ilvl="7" w:tentative="1">
      <w:start w:val="1"/>
      <w:numFmt w:val="bullet"/>
      <w:lvlText w:val=""/>
      <w:lvlJc w:val="left"/>
      <w:pPr>
        <w:ind w:left="4000" w:hanging="420"/>
      </w:pPr>
      <w:rPr>
        <w:rFonts w:hint="default" w:ascii="Wingdings" w:hAnsi="Wingdings"/>
      </w:rPr>
    </w:lvl>
    <w:lvl w:ilvl="8" w:tentative="1">
      <w:start w:val="1"/>
      <w:numFmt w:val="bullet"/>
      <w:lvlText w:val=""/>
      <w:lvlJc w:val="left"/>
      <w:pPr>
        <w:ind w:left="4420" w:hanging="420"/>
      </w:pPr>
      <w:rPr>
        <w:rFonts w:hint="default" w:ascii="Wingdings" w:hAnsi="Wingdings"/>
      </w:rPr>
    </w:lvl>
  </w:abstractNum>
  <w:num w:numId="1">
    <w:abstractNumId w:val="16611590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AD1223"/>
    <w:rsid w:val="1DAD1223"/>
    <w:rsid w:val="1EA539A9"/>
    <w:rsid w:val="355D6EF7"/>
    <w:rsid w:val="6057480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2015-12-11T01:05:00Z</dcterms:created>
  <dc:creator>dell-pc</dc:creator>
  <cp:lastModifiedBy>dell-pc</cp:lastModifiedBy>
  <dcterms:modified xsi:type="dcterms:W3CDTF">2015-12-16T06:39:46Z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