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highlight w:val="none"/>
          <w:lang w:val="en-US" w:eastAsia="zh-CN"/>
        </w:rPr>
      </w:pPr>
      <w:r>
        <w:rPr>
          <w:sz w:val="21"/>
          <w:highlight w:val="none"/>
        </w:rPr>
        <mc:AlternateContent>
          <mc:Choice Requires="wps">
            <w:drawing>
              <wp:anchor distT="0" distB="0" distL="114300" distR="114300" simplePos="0" relativeHeight="251659264" behindDoc="0" locked="0" layoutInCell="1" allowOverlap="1">
                <wp:simplePos x="0" y="0"/>
                <wp:positionH relativeFrom="column">
                  <wp:posOffset>-1216660</wp:posOffset>
                </wp:positionH>
                <wp:positionV relativeFrom="paragraph">
                  <wp:posOffset>2653665</wp:posOffset>
                </wp:positionV>
                <wp:extent cx="7397115" cy="6069330"/>
                <wp:effectExtent l="0" t="0" r="0" b="0"/>
                <wp:wrapNone/>
                <wp:docPr id="3" name="文本框 3"/>
                <wp:cNvGraphicFramePr/>
                <a:graphic xmlns:a="http://schemas.openxmlformats.org/drawingml/2006/main">
                  <a:graphicData uri="http://schemas.microsoft.com/office/word/2010/wordprocessingShape">
                    <wps:wsp>
                      <wps:cNvSpPr txBox="1"/>
                      <wps:spPr>
                        <a:xfrm>
                          <a:off x="0" y="0"/>
                          <a:ext cx="7397115" cy="60693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汉仪雅酷黑 75W" w:hAnsi="汉仪雅酷黑 75W" w:eastAsia="汉仪雅酷黑 75W" w:cs="汉仪雅酷黑 75W"/>
                                <w:b/>
                                <w:bCs/>
                                <w:color w:val="0F9E52"/>
                                <w:sz w:val="96"/>
                                <w:szCs w:val="96"/>
                                <w:lang w:val="en-US" w:eastAsia="zh-CN"/>
                              </w:rPr>
                            </w:pPr>
                            <w:r>
                              <w:rPr>
                                <w:rFonts w:hint="default" w:ascii="Times New Roman" w:hAnsi="Times New Roman" w:eastAsia="汉仪雅酷黑 75W" w:cs="Times New Roman"/>
                                <w:b/>
                                <w:bCs/>
                                <w:color w:val="5B87BD"/>
                                <w:sz w:val="96"/>
                                <w:szCs w:val="96"/>
                                <w:lang w:val="en-US" w:eastAsia="zh-CN"/>
                              </w:rPr>
                              <w:t>2023</w:t>
                            </w:r>
                            <w:r>
                              <w:rPr>
                                <w:rFonts w:hint="eastAsia" w:ascii="汉仪雅酷黑 75W" w:hAnsi="汉仪雅酷黑 75W" w:eastAsia="汉仪雅酷黑 75W" w:cs="汉仪雅酷黑 75W"/>
                                <w:b/>
                                <w:bCs/>
                                <w:color w:val="5B87BD"/>
                                <w:sz w:val="96"/>
                                <w:szCs w:val="96"/>
                                <w:lang w:val="en-US" w:eastAsia="zh-CN"/>
                              </w:rPr>
                              <w:t>年度</w:t>
                            </w:r>
                          </w:p>
                          <w:p>
                            <w:pPr>
                              <w:jc w:val="center"/>
                              <w:rPr>
                                <w:rFonts w:hint="eastAsia" w:ascii="汉仪雅酷黑 75W" w:hAnsi="汉仪雅酷黑 75W" w:eastAsia="汉仪雅酷黑 75W" w:cs="汉仪雅酷黑 75W"/>
                                <w:b/>
                                <w:bCs/>
                                <w:color w:val="5B87BD"/>
                                <w:sz w:val="96"/>
                                <w:szCs w:val="96"/>
                                <w:lang w:val="en-US" w:eastAsia="zh-CN"/>
                              </w:rPr>
                            </w:pPr>
                            <w:r>
                              <w:rPr>
                                <w:rFonts w:hint="eastAsia" w:ascii="汉仪雅酷黑 75W" w:hAnsi="汉仪雅酷黑 75W" w:eastAsia="汉仪雅酷黑 75W" w:cs="汉仪雅酷黑 75W"/>
                                <w:b/>
                                <w:bCs/>
                                <w:color w:val="5B87BD"/>
                                <w:sz w:val="96"/>
                                <w:szCs w:val="96"/>
                                <w:lang w:val="en-US" w:eastAsia="zh-CN"/>
                              </w:rPr>
                              <w:t>中俄区域经济智库</w:t>
                            </w:r>
                          </w:p>
                          <w:p>
                            <w:pPr>
                              <w:jc w:val="center"/>
                              <w:rPr>
                                <w:rFonts w:hint="eastAsia" w:ascii="汉仪雅酷黑 75W" w:hAnsi="汉仪雅酷黑 75W" w:eastAsia="汉仪雅酷黑 75W" w:cs="汉仪雅酷黑 75W"/>
                                <w:b/>
                                <w:bCs/>
                                <w:color w:val="5B87BD"/>
                                <w:sz w:val="96"/>
                                <w:szCs w:val="96"/>
                                <w:lang w:val="en-US" w:eastAsia="zh-CN"/>
                              </w:rPr>
                            </w:pPr>
                            <w:r>
                              <w:rPr>
                                <w:rFonts w:hint="eastAsia" w:ascii="汉仪雅酷黑 75W" w:hAnsi="汉仪雅酷黑 75W" w:eastAsia="汉仪雅酷黑 75W" w:cs="汉仪雅酷黑 75W"/>
                                <w:b/>
                                <w:bCs/>
                                <w:color w:val="5B87BD"/>
                                <w:sz w:val="96"/>
                                <w:szCs w:val="96"/>
                                <w:lang w:val="en-US" w:eastAsia="zh-CN"/>
                              </w:rPr>
                              <w:t>总结报告</w:t>
                            </w:r>
                          </w:p>
                          <w:p>
                            <w:pPr>
                              <w:jc w:val="center"/>
                              <w:rPr>
                                <w:rFonts w:hint="eastAsia" w:ascii="汉仪雅酷黑 75W" w:hAnsi="汉仪雅酷黑 75W" w:eastAsia="汉仪雅酷黑 75W" w:cs="汉仪雅酷黑 75W"/>
                                <w:b/>
                                <w:bCs/>
                                <w:color w:val="5B87BD"/>
                                <w:sz w:val="96"/>
                                <w:szCs w:val="96"/>
                                <w:lang w:val="en-US" w:eastAsia="zh-CN"/>
                              </w:rPr>
                            </w:pPr>
                          </w:p>
                          <w:p>
                            <w:pPr>
                              <w:jc w:val="center"/>
                              <w:rPr>
                                <w:rFonts w:hint="eastAsia" w:ascii="汉仪雅酷黑 75W" w:hAnsi="汉仪雅酷黑 75W" w:eastAsia="汉仪雅酷黑 75W" w:cs="汉仪雅酷黑 75W"/>
                                <w:b/>
                                <w:bCs/>
                                <w:color w:val="5B87BD"/>
                                <w:sz w:val="96"/>
                                <w:szCs w:val="96"/>
                                <w:lang w:val="en-US" w:eastAsia="zh-CN"/>
                              </w:rPr>
                            </w:pPr>
                          </w:p>
                          <w:p>
                            <w:pPr>
                              <w:jc w:val="center"/>
                              <w:rPr>
                                <w:rFonts w:hint="eastAsia" w:ascii="汉仪雅酷黑 75W" w:hAnsi="汉仪雅酷黑 75W" w:eastAsia="汉仪雅酷黑 75W" w:cs="汉仪雅酷黑 75W"/>
                                <w:b/>
                                <w:bCs/>
                                <w:color w:val="5B87BD"/>
                                <w:sz w:val="96"/>
                                <w:szCs w:val="96"/>
                                <w:lang w:val="en-US" w:eastAsia="zh-CN"/>
                              </w:rPr>
                            </w:pPr>
                          </w:p>
                          <w:p>
                            <w:pPr>
                              <w:spacing w:line="300" w:lineRule="auto"/>
                              <w:jc w:val="center"/>
                              <w:rPr>
                                <w:rFonts w:hint="default" w:ascii="楷体" w:hAnsi="楷体" w:eastAsia="楷体"/>
                                <w:b/>
                                <w:sz w:val="52"/>
                                <w:szCs w:val="52"/>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5.8pt;margin-top:208.95pt;height:477.9pt;width:582.45pt;z-index:251659264;mso-width-relative:page;mso-height-relative:page;" filled="f" stroked="f" coordsize="21600,21600" o:gfxdata="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b/FxPeAAAADQEAAA8AAAAAAAAAAQAgAAAA&#10;IgAAAGRycy9kb3ducmV2LnhtbFBLAQIUABQAAAAIAIdO4kD1sRq7PgIAAGcEAAAOAAAAAAAAAAEA&#10;IAAAAC0BAABkcnMvZTJvRG9jLnhtbFBLBQYAAAAABgAGAFkBAADdBQAAAAA=&#10;">
                <v:fill on="f" focussize="0,0"/>
                <v:stroke on="f" weight="0.5pt"/>
                <v:imagedata o:title=""/>
                <o:lock v:ext="edit" aspectratio="f"/>
                <v:textbox>
                  <w:txbxContent>
                    <w:p>
                      <w:pPr>
                        <w:jc w:val="center"/>
                        <w:rPr>
                          <w:rFonts w:hint="default" w:ascii="汉仪雅酷黑 75W" w:hAnsi="汉仪雅酷黑 75W" w:eastAsia="汉仪雅酷黑 75W" w:cs="汉仪雅酷黑 75W"/>
                          <w:b/>
                          <w:bCs/>
                          <w:color w:val="0F9E52"/>
                          <w:sz w:val="96"/>
                          <w:szCs w:val="96"/>
                          <w:lang w:val="en-US" w:eastAsia="zh-CN"/>
                        </w:rPr>
                      </w:pPr>
                      <w:r>
                        <w:rPr>
                          <w:rFonts w:hint="default" w:ascii="Times New Roman" w:hAnsi="Times New Roman" w:eastAsia="汉仪雅酷黑 75W" w:cs="Times New Roman"/>
                          <w:b/>
                          <w:bCs/>
                          <w:color w:val="5B87BD"/>
                          <w:sz w:val="96"/>
                          <w:szCs w:val="96"/>
                          <w:lang w:val="en-US" w:eastAsia="zh-CN"/>
                        </w:rPr>
                        <w:t>2023</w:t>
                      </w:r>
                      <w:r>
                        <w:rPr>
                          <w:rFonts w:hint="eastAsia" w:ascii="汉仪雅酷黑 75W" w:hAnsi="汉仪雅酷黑 75W" w:eastAsia="汉仪雅酷黑 75W" w:cs="汉仪雅酷黑 75W"/>
                          <w:b/>
                          <w:bCs/>
                          <w:color w:val="5B87BD"/>
                          <w:sz w:val="96"/>
                          <w:szCs w:val="96"/>
                          <w:lang w:val="en-US" w:eastAsia="zh-CN"/>
                        </w:rPr>
                        <w:t>年度</w:t>
                      </w:r>
                    </w:p>
                    <w:p>
                      <w:pPr>
                        <w:jc w:val="center"/>
                        <w:rPr>
                          <w:rFonts w:hint="eastAsia" w:ascii="汉仪雅酷黑 75W" w:hAnsi="汉仪雅酷黑 75W" w:eastAsia="汉仪雅酷黑 75W" w:cs="汉仪雅酷黑 75W"/>
                          <w:b/>
                          <w:bCs/>
                          <w:color w:val="5B87BD"/>
                          <w:sz w:val="96"/>
                          <w:szCs w:val="96"/>
                          <w:lang w:val="en-US" w:eastAsia="zh-CN"/>
                        </w:rPr>
                      </w:pPr>
                      <w:r>
                        <w:rPr>
                          <w:rFonts w:hint="eastAsia" w:ascii="汉仪雅酷黑 75W" w:hAnsi="汉仪雅酷黑 75W" w:eastAsia="汉仪雅酷黑 75W" w:cs="汉仪雅酷黑 75W"/>
                          <w:b/>
                          <w:bCs/>
                          <w:color w:val="5B87BD"/>
                          <w:sz w:val="96"/>
                          <w:szCs w:val="96"/>
                          <w:lang w:val="en-US" w:eastAsia="zh-CN"/>
                        </w:rPr>
                        <w:t>中俄区域经济智库</w:t>
                      </w:r>
                    </w:p>
                    <w:p>
                      <w:pPr>
                        <w:jc w:val="center"/>
                        <w:rPr>
                          <w:rFonts w:hint="eastAsia" w:ascii="汉仪雅酷黑 75W" w:hAnsi="汉仪雅酷黑 75W" w:eastAsia="汉仪雅酷黑 75W" w:cs="汉仪雅酷黑 75W"/>
                          <w:b/>
                          <w:bCs/>
                          <w:color w:val="5B87BD"/>
                          <w:sz w:val="96"/>
                          <w:szCs w:val="96"/>
                          <w:lang w:val="en-US" w:eastAsia="zh-CN"/>
                        </w:rPr>
                      </w:pPr>
                      <w:r>
                        <w:rPr>
                          <w:rFonts w:hint="eastAsia" w:ascii="汉仪雅酷黑 75W" w:hAnsi="汉仪雅酷黑 75W" w:eastAsia="汉仪雅酷黑 75W" w:cs="汉仪雅酷黑 75W"/>
                          <w:b/>
                          <w:bCs/>
                          <w:color w:val="5B87BD"/>
                          <w:sz w:val="96"/>
                          <w:szCs w:val="96"/>
                          <w:lang w:val="en-US" w:eastAsia="zh-CN"/>
                        </w:rPr>
                        <w:t>总结报告</w:t>
                      </w:r>
                    </w:p>
                    <w:p>
                      <w:pPr>
                        <w:jc w:val="center"/>
                        <w:rPr>
                          <w:rFonts w:hint="eastAsia" w:ascii="汉仪雅酷黑 75W" w:hAnsi="汉仪雅酷黑 75W" w:eastAsia="汉仪雅酷黑 75W" w:cs="汉仪雅酷黑 75W"/>
                          <w:b/>
                          <w:bCs/>
                          <w:color w:val="5B87BD"/>
                          <w:sz w:val="96"/>
                          <w:szCs w:val="96"/>
                          <w:lang w:val="en-US" w:eastAsia="zh-CN"/>
                        </w:rPr>
                      </w:pPr>
                    </w:p>
                    <w:p>
                      <w:pPr>
                        <w:jc w:val="center"/>
                        <w:rPr>
                          <w:rFonts w:hint="eastAsia" w:ascii="汉仪雅酷黑 75W" w:hAnsi="汉仪雅酷黑 75W" w:eastAsia="汉仪雅酷黑 75W" w:cs="汉仪雅酷黑 75W"/>
                          <w:b/>
                          <w:bCs/>
                          <w:color w:val="5B87BD"/>
                          <w:sz w:val="96"/>
                          <w:szCs w:val="96"/>
                          <w:lang w:val="en-US" w:eastAsia="zh-CN"/>
                        </w:rPr>
                      </w:pPr>
                    </w:p>
                    <w:p>
                      <w:pPr>
                        <w:jc w:val="center"/>
                        <w:rPr>
                          <w:rFonts w:hint="eastAsia" w:ascii="汉仪雅酷黑 75W" w:hAnsi="汉仪雅酷黑 75W" w:eastAsia="汉仪雅酷黑 75W" w:cs="汉仪雅酷黑 75W"/>
                          <w:b/>
                          <w:bCs/>
                          <w:color w:val="5B87BD"/>
                          <w:sz w:val="96"/>
                          <w:szCs w:val="96"/>
                          <w:lang w:val="en-US" w:eastAsia="zh-CN"/>
                        </w:rPr>
                      </w:pPr>
                    </w:p>
                    <w:p>
                      <w:pPr>
                        <w:spacing w:line="300" w:lineRule="auto"/>
                        <w:jc w:val="center"/>
                        <w:rPr>
                          <w:rFonts w:hint="default" w:ascii="楷体" w:hAnsi="楷体" w:eastAsia="楷体"/>
                          <w:b/>
                          <w:sz w:val="52"/>
                          <w:szCs w:val="52"/>
                          <w:lang w:val="en-US" w:eastAsia="zh-CN"/>
                        </w:rPr>
                      </w:pPr>
                    </w:p>
                  </w:txbxContent>
                </v:textbox>
              </v:shape>
            </w:pict>
          </mc:Fallback>
        </mc:AlternateContent>
      </w:r>
      <w:r>
        <w:rPr>
          <w:highlight w:val="none"/>
        </w:rPr>
        <w:drawing>
          <wp:anchor distT="0" distB="0" distL="114300" distR="114300" simplePos="0" relativeHeight="251660288" behindDoc="1" locked="0" layoutInCell="1" allowOverlap="1">
            <wp:simplePos x="0" y="0"/>
            <wp:positionH relativeFrom="column">
              <wp:posOffset>-1170940</wp:posOffset>
            </wp:positionH>
            <wp:positionV relativeFrom="paragraph">
              <wp:posOffset>-941705</wp:posOffset>
            </wp:positionV>
            <wp:extent cx="7672070" cy="10972165"/>
            <wp:effectExtent l="0" t="0" r="5080" b="63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7672070" cy="10972165"/>
                    </a:xfrm>
                    <a:prstGeom prst="rect">
                      <a:avLst/>
                    </a:prstGeom>
                    <a:noFill/>
                    <a:ln>
                      <a:noFill/>
                    </a:ln>
                  </pic:spPr>
                </pic:pic>
              </a:graphicData>
            </a:graphic>
          </wp:anchor>
        </w:drawing>
      </w:r>
      <w:r>
        <w:rPr>
          <w:highlight w:val="none"/>
        </w:rPr>
        <w:drawing>
          <wp:anchor distT="0" distB="0" distL="114300" distR="114300" simplePos="0" relativeHeight="251661312" behindDoc="0" locked="0" layoutInCell="1" allowOverlap="1">
            <wp:simplePos x="0" y="0"/>
            <wp:positionH relativeFrom="column">
              <wp:posOffset>5140960</wp:posOffset>
            </wp:positionH>
            <wp:positionV relativeFrom="paragraph">
              <wp:posOffset>-200660</wp:posOffset>
            </wp:positionV>
            <wp:extent cx="1149350" cy="240030"/>
            <wp:effectExtent l="0" t="0" r="12700" b="7620"/>
            <wp:wrapNone/>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6"/>
                    <a:stretch>
                      <a:fillRect/>
                    </a:stretch>
                  </pic:blipFill>
                  <pic:spPr>
                    <a:xfrm>
                      <a:off x="0" y="0"/>
                      <a:ext cx="1149350" cy="240030"/>
                    </a:xfrm>
                    <a:prstGeom prst="rect">
                      <a:avLst/>
                    </a:prstGeom>
                    <a:noFill/>
                    <a:ln>
                      <a:noFill/>
                    </a:ln>
                  </pic:spPr>
                </pic:pic>
              </a:graphicData>
            </a:graphic>
          </wp:anchor>
        </w:drawing>
      </w:r>
    </w:p>
    <w:p>
      <w:pPr>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cstheme="minorEastAsia"/>
          <w:b/>
          <w:bCs/>
          <w:w w:val="100"/>
          <w:sz w:val="24"/>
          <w:szCs w:val="24"/>
          <w:highlight w:val="none"/>
          <w:lang w:val="en-US" w:eastAsia="zh-CN"/>
        </w:rPr>
        <w:sectPr>
          <w:pgSz w:w="11906" w:h="16838"/>
          <w:pgMar w:top="1440" w:right="1800" w:bottom="1440" w:left="1800" w:header="851" w:footer="992" w:gutter="0"/>
          <w:cols w:space="425" w:num="1"/>
          <w:docGrid w:type="lines" w:linePitch="312" w:charSpace="0"/>
        </w:sectPr>
      </w:pPr>
      <w:bookmarkStart w:id="10" w:name="_GoBack"/>
      <w:bookmarkEnd w:id="10"/>
      <w:r>
        <w:rPr>
          <w:sz w:val="21"/>
          <w:highlight w:val="none"/>
        </w:rPr>
        <mc:AlternateContent>
          <mc:Choice Requires="wps">
            <w:drawing>
              <wp:anchor distT="0" distB="0" distL="114300" distR="114300" simplePos="0" relativeHeight="251662336" behindDoc="0" locked="0" layoutInCell="1" allowOverlap="1">
                <wp:simplePos x="0" y="0"/>
                <wp:positionH relativeFrom="column">
                  <wp:posOffset>-591185</wp:posOffset>
                </wp:positionH>
                <wp:positionV relativeFrom="paragraph">
                  <wp:posOffset>7411085</wp:posOffset>
                </wp:positionV>
                <wp:extent cx="6904355" cy="148082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6904355" cy="1480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楷体" w:hAnsi="楷体" w:eastAsia="楷体"/>
                                <w:b/>
                                <w:sz w:val="52"/>
                                <w:szCs w:val="52"/>
                                <w:lang w:val="en-US" w:eastAsia="zh-CN"/>
                              </w:rPr>
                            </w:pPr>
                            <w:r>
                              <w:rPr>
                                <w:rFonts w:hint="eastAsia" w:ascii="楷体" w:hAnsi="楷体" w:eastAsia="楷体"/>
                                <w:b/>
                                <w:sz w:val="52"/>
                                <w:szCs w:val="52"/>
                                <w:lang w:val="en-US" w:eastAsia="zh-CN"/>
                              </w:rPr>
                              <w:t>黑龙江当代中俄区域经济研究院</w:t>
                            </w:r>
                          </w:p>
                          <w:p>
                            <w:pPr>
                              <w:jc w:val="center"/>
                              <w:rPr>
                                <w:rFonts w:hint="default" w:ascii="汉仪雅酷黑 75W" w:hAnsi="汉仪雅酷黑 75W" w:eastAsia="汉仪雅酷黑 75W" w:cs="汉仪雅酷黑 75W"/>
                                <w:b/>
                                <w:bCs/>
                                <w:color w:val="5B87BD"/>
                                <w:sz w:val="96"/>
                                <w:szCs w:val="96"/>
                                <w:lang w:val="en-US" w:eastAsia="zh-CN"/>
                              </w:rPr>
                            </w:pPr>
                            <w:r>
                              <w:rPr>
                                <w:rFonts w:hint="default" w:ascii="Times New Roman" w:hAnsi="Times New Roman" w:eastAsia="楷体" w:cs="Times New Roman"/>
                                <w:sz w:val="48"/>
                                <w:szCs w:val="52"/>
                              </w:rPr>
                              <w:t>202</w:t>
                            </w:r>
                            <w:r>
                              <w:rPr>
                                <w:rFonts w:hint="default" w:ascii="Times New Roman" w:hAnsi="Times New Roman" w:eastAsia="楷体" w:cs="Times New Roman"/>
                                <w:sz w:val="48"/>
                                <w:szCs w:val="52"/>
                                <w:lang w:val="en-US" w:eastAsia="zh-CN"/>
                              </w:rPr>
                              <w:t>3</w:t>
                            </w:r>
                            <w:r>
                              <w:rPr>
                                <w:rFonts w:hint="default" w:ascii="Times New Roman" w:hAnsi="Times New Roman" w:eastAsia="楷体" w:cs="Times New Roman"/>
                                <w:sz w:val="48"/>
                                <w:szCs w:val="52"/>
                              </w:rPr>
                              <w:t>.</w:t>
                            </w:r>
                            <w:r>
                              <w:rPr>
                                <w:rFonts w:hint="default" w:ascii="Times New Roman" w:hAnsi="Times New Roman" w:eastAsia="楷体" w:cs="Times New Roman"/>
                                <w:sz w:val="48"/>
                                <w:szCs w:val="52"/>
                                <w:lang w:val="en-US" w:eastAsia="zh-CN"/>
                              </w:rPr>
                              <w:t>1</w:t>
                            </w:r>
                            <w:r>
                              <w:rPr>
                                <w:rFonts w:hint="eastAsia" w:ascii="Times New Roman" w:hAnsi="Times New Roman" w:eastAsia="楷体" w:cs="Times New Roman"/>
                                <w:sz w:val="48"/>
                                <w:szCs w:val="52"/>
                                <w:lang w:val="en-US" w:eastAsia="zh-CN"/>
                              </w:rPr>
                              <w:t>2</w:t>
                            </w:r>
                            <w:r>
                              <w:rPr>
                                <w:rFonts w:hint="default" w:ascii="Times New Roman" w:hAnsi="Times New Roman" w:eastAsia="楷体" w:cs="Times New Roman"/>
                                <w:sz w:val="48"/>
                                <w:szCs w:val="52"/>
                              </w:rPr>
                              <w:t>.</w:t>
                            </w:r>
                            <w:r>
                              <w:rPr>
                                <w:rFonts w:hint="eastAsia" w:ascii="Times New Roman" w:hAnsi="Times New Roman" w:eastAsia="楷体" w:cs="Times New Roman"/>
                                <w:sz w:val="48"/>
                                <w:szCs w:val="52"/>
                                <w:lang w:val="en-US" w:eastAsia="zh-CN"/>
                              </w:rPr>
                              <w:t>3</w:t>
                            </w:r>
                            <w:r>
                              <w:rPr>
                                <w:rFonts w:hint="default" w:ascii="Times New Roman" w:hAnsi="Times New Roman" w:eastAsia="楷体" w:cs="Times New Roman"/>
                                <w:sz w:val="48"/>
                                <w:szCs w:val="52"/>
                                <w:lang w:val="en-US" w:eastAsia="zh-CN"/>
                              </w:rPr>
                              <w:t>0</w:t>
                            </w:r>
                          </w:p>
                          <w:p>
                            <w:pPr>
                              <w:spacing w:line="300" w:lineRule="auto"/>
                              <w:jc w:val="center"/>
                              <w:rPr>
                                <w:rFonts w:ascii="楷体" w:hAnsi="楷体" w:eastAsia="楷体"/>
                                <w:b/>
                                <w:sz w:val="52"/>
                                <w:szCs w:val="52"/>
                              </w:rPr>
                            </w:pPr>
                          </w:p>
                          <w:p>
                            <w:pPr>
                              <w:spacing w:line="300" w:lineRule="auto"/>
                              <w:jc w:val="center"/>
                              <w:rPr>
                                <w:rFonts w:ascii="楷体" w:hAnsi="楷体" w:eastAsia="楷体"/>
                                <w:b/>
                                <w:sz w:val="52"/>
                                <w:szCs w:val="52"/>
                              </w:rPr>
                            </w:pPr>
                          </w:p>
                          <w:p>
                            <w:pPr>
                              <w:jc w:val="distribute"/>
                              <w:rPr>
                                <w:rFonts w:hint="default" w:ascii="汉仪雅酷黑 75W" w:hAnsi="汉仪雅酷黑 75W" w:eastAsia="汉仪雅酷黑 75W" w:cs="汉仪雅酷黑 75W"/>
                                <w:b/>
                                <w:bCs/>
                                <w:color w:val="D1DEEC"/>
                                <w:sz w:val="24"/>
                                <w:szCs w:val="24"/>
                                <w:lang w:val="en-US" w:eastAsia="zh-CN"/>
                              </w:rPr>
                            </w:pPr>
                            <w:r>
                              <w:rPr>
                                <w:rFonts w:hint="eastAsia" w:ascii="楷体" w:hAnsi="楷体" w:eastAsia="楷体"/>
                                <w:sz w:val="48"/>
                                <w:szCs w:val="52"/>
                              </w:rPr>
                              <w:t>202</w:t>
                            </w:r>
                            <w:r>
                              <w:rPr>
                                <w:rFonts w:hint="eastAsia" w:ascii="楷体" w:hAnsi="楷体" w:eastAsia="楷体"/>
                                <w:sz w:val="48"/>
                                <w:szCs w:val="52"/>
                                <w:lang w:val="en-US" w:eastAsia="zh-CN"/>
                              </w:rPr>
                              <w:t>3</w:t>
                            </w:r>
                            <w:r>
                              <w:rPr>
                                <w:rFonts w:hint="eastAsia" w:ascii="楷体" w:hAnsi="楷体" w:eastAsia="楷体"/>
                                <w:sz w:val="48"/>
                                <w:szCs w:val="52"/>
                              </w:rPr>
                              <w:t>.</w:t>
                            </w:r>
                            <w:r>
                              <w:rPr>
                                <w:rFonts w:hint="eastAsia" w:ascii="楷体" w:hAnsi="楷体" w:eastAsia="楷体"/>
                                <w:sz w:val="48"/>
                                <w:szCs w:val="52"/>
                                <w:lang w:val="en-US" w:eastAsia="zh-CN"/>
                              </w:rPr>
                              <w:t>5</w:t>
                            </w:r>
                            <w:r>
                              <w:rPr>
                                <w:rFonts w:hint="eastAsia" w:ascii="楷体" w:hAnsi="楷体" w:eastAsia="楷体"/>
                                <w:sz w:val="48"/>
                                <w:szCs w:val="52"/>
                              </w:rPr>
                              <w:t>.</w:t>
                            </w:r>
                            <w:r>
                              <w:rPr>
                                <w:rFonts w:hint="eastAsia" w:ascii="楷体" w:hAnsi="楷体" w:eastAsia="楷体"/>
                                <w:sz w:val="48"/>
                                <w:szCs w:val="52"/>
                                <w:lang w:val="en-US" w:eastAsia="zh-CN"/>
                              </w:rPr>
                              <w:t>18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55pt;margin-top:583.55pt;height:116.6pt;width:543.65pt;z-index:251662336;mso-width-relative:page;mso-height-relative:page;" filled="f" stroked="f" coordsize="21600,21600" o:gfxdata="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bamGe3QAAAA0BAAAPAAAAAAAAAAEAIAAAACIA&#10;AABkcnMvZG93bnJldi54bWxQSwECFAAUAAAACACHTuJAUyD+kT0CAABpBAAADgAAAAAAAAABACAA&#10;AAAsAQAAZHJzL2Uyb0RvYy54bWxQSwUGAAAAAAYABgBZAQAA2wUAAAAA&#10;">
                <v:fill on="f" focussize="0,0"/>
                <v:stroke on="f" weight="0.5pt"/>
                <v:imagedata o:title=""/>
                <o:lock v:ext="edit" aspectratio="f"/>
                <v:textbox>
                  <w:txbxContent>
                    <w:p>
                      <w:pPr>
                        <w:jc w:val="center"/>
                        <w:rPr>
                          <w:rFonts w:hint="eastAsia" w:ascii="楷体" w:hAnsi="楷体" w:eastAsia="楷体"/>
                          <w:b/>
                          <w:sz w:val="52"/>
                          <w:szCs w:val="52"/>
                          <w:lang w:val="en-US" w:eastAsia="zh-CN"/>
                        </w:rPr>
                      </w:pPr>
                      <w:r>
                        <w:rPr>
                          <w:rFonts w:hint="eastAsia" w:ascii="楷体" w:hAnsi="楷体" w:eastAsia="楷体"/>
                          <w:b/>
                          <w:sz w:val="52"/>
                          <w:szCs w:val="52"/>
                          <w:lang w:val="en-US" w:eastAsia="zh-CN"/>
                        </w:rPr>
                        <w:t>黑龙江当代中俄区域经济研究院</w:t>
                      </w:r>
                    </w:p>
                    <w:p>
                      <w:pPr>
                        <w:jc w:val="center"/>
                        <w:rPr>
                          <w:rFonts w:hint="default" w:ascii="汉仪雅酷黑 75W" w:hAnsi="汉仪雅酷黑 75W" w:eastAsia="汉仪雅酷黑 75W" w:cs="汉仪雅酷黑 75W"/>
                          <w:b/>
                          <w:bCs/>
                          <w:color w:val="5B87BD"/>
                          <w:sz w:val="96"/>
                          <w:szCs w:val="96"/>
                          <w:lang w:val="en-US" w:eastAsia="zh-CN"/>
                        </w:rPr>
                      </w:pPr>
                      <w:r>
                        <w:rPr>
                          <w:rFonts w:hint="default" w:ascii="Times New Roman" w:hAnsi="Times New Roman" w:eastAsia="楷体" w:cs="Times New Roman"/>
                          <w:sz w:val="48"/>
                          <w:szCs w:val="52"/>
                        </w:rPr>
                        <w:t>202</w:t>
                      </w:r>
                      <w:r>
                        <w:rPr>
                          <w:rFonts w:hint="default" w:ascii="Times New Roman" w:hAnsi="Times New Roman" w:eastAsia="楷体" w:cs="Times New Roman"/>
                          <w:sz w:val="48"/>
                          <w:szCs w:val="52"/>
                          <w:lang w:val="en-US" w:eastAsia="zh-CN"/>
                        </w:rPr>
                        <w:t>3</w:t>
                      </w:r>
                      <w:r>
                        <w:rPr>
                          <w:rFonts w:hint="default" w:ascii="Times New Roman" w:hAnsi="Times New Roman" w:eastAsia="楷体" w:cs="Times New Roman"/>
                          <w:sz w:val="48"/>
                          <w:szCs w:val="52"/>
                        </w:rPr>
                        <w:t>.</w:t>
                      </w:r>
                      <w:r>
                        <w:rPr>
                          <w:rFonts w:hint="default" w:ascii="Times New Roman" w:hAnsi="Times New Roman" w:eastAsia="楷体" w:cs="Times New Roman"/>
                          <w:sz w:val="48"/>
                          <w:szCs w:val="52"/>
                          <w:lang w:val="en-US" w:eastAsia="zh-CN"/>
                        </w:rPr>
                        <w:t>1</w:t>
                      </w:r>
                      <w:r>
                        <w:rPr>
                          <w:rFonts w:hint="eastAsia" w:ascii="Times New Roman" w:hAnsi="Times New Roman" w:eastAsia="楷体" w:cs="Times New Roman"/>
                          <w:sz w:val="48"/>
                          <w:szCs w:val="52"/>
                          <w:lang w:val="en-US" w:eastAsia="zh-CN"/>
                        </w:rPr>
                        <w:t>2</w:t>
                      </w:r>
                      <w:r>
                        <w:rPr>
                          <w:rFonts w:hint="default" w:ascii="Times New Roman" w:hAnsi="Times New Roman" w:eastAsia="楷体" w:cs="Times New Roman"/>
                          <w:sz w:val="48"/>
                          <w:szCs w:val="52"/>
                        </w:rPr>
                        <w:t>.</w:t>
                      </w:r>
                      <w:r>
                        <w:rPr>
                          <w:rFonts w:hint="eastAsia" w:ascii="Times New Roman" w:hAnsi="Times New Roman" w:eastAsia="楷体" w:cs="Times New Roman"/>
                          <w:sz w:val="48"/>
                          <w:szCs w:val="52"/>
                          <w:lang w:val="en-US" w:eastAsia="zh-CN"/>
                        </w:rPr>
                        <w:t>3</w:t>
                      </w:r>
                      <w:r>
                        <w:rPr>
                          <w:rFonts w:hint="default" w:ascii="Times New Roman" w:hAnsi="Times New Roman" w:eastAsia="楷体" w:cs="Times New Roman"/>
                          <w:sz w:val="48"/>
                          <w:szCs w:val="52"/>
                          <w:lang w:val="en-US" w:eastAsia="zh-CN"/>
                        </w:rPr>
                        <w:t>0</w:t>
                      </w:r>
                    </w:p>
                    <w:p>
                      <w:pPr>
                        <w:spacing w:line="300" w:lineRule="auto"/>
                        <w:jc w:val="center"/>
                        <w:rPr>
                          <w:rFonts w:ascii="楷体" w:hAnsi="楷体" w:eastAsia="楷体"/>
                          <w:b/>
                          <w:sz w:val="52"/>
                          <w:szCs w:val="52"/>
                        </w:rPr>
                      </w:pPr>
                    </w:p>
                    <w:p>
                      <w:pPr>
                        <w:spacing w:line="300" w:lineRule="auto"/>
                        <w:jc w:val="center"/>
                        <w:rPr>
                          <w:rFonts w:ascii="楷体" w:hAnsi="楷体" w:eastAsia="楷体"/>
                          <w:b/>
                          <w:sz w:val="52"/>
                          <w:szCs w:val="52"/>
                        </w:rPr>
                      </w:pPr>
                    </w:p>
                    <w:p>
                      <w:pPr>
                        <w:jc w:val="distribute"/>
                        <w:rPr>
                          <w:rFonts w:hint="default" w:ascii="汉仪雅酷黑 75W" w:hAnsi="汉仪雅酷黑 75W" w:eastAsia="汉仪雅酷黑 75W" w:cs="汉仪雅酷黑 75W"/>
                          <w:b/>
                          <w:bCs/>
                          <w:color w:val="D1DEEC"/>
                          <w:sz w:val="24"/>
                          <w:szCs w:val="24"/>
                          <w:lang w:val="en-US" w:eastAsia="zh-CN"/>
                        </w:rPr>
                      </w:pPr>
                      <w:r>
                        <w:rPr>
                          <w:rFonts w:hint="eastAsia" w:ascii="楷体" w:hAnsi="楷体" w:eastAsia="楷体"/>
                          <w:sz w:val="48"/>
                          <w:szCs w:val="52"/>
                        </w:rPr>
                        <w:t>202</w:t>
                      </w:r>
                      <w:r>
                        <w:rPr>
                          <w:rFonts w:hint="eastAsia" w:ascii="楷体" w:hAnsi="楷体" w:eastAsia="楷体"/>
                          <w:sz w:val="48"/>
                          <w:szCs w:val="52"/>
                          <w:lang w:val="en-US" w:eastAsia="zh-CN"/>
                        </w:rPr>
                        <w:t>3</w:t>
                      </w:r>
                      <w:r>
                        <w:rPr>
                          <w:rFonts w:hint="eastAsia" w:ascii="楷体" w:hAnsi="楷体" w:eastAsia="楷体"/>
                          <w:sz w:val="48"/>
                          <w:szCs w:val="52"/>
                        </w:rPr>
                        <w:t>.</w:t>
                      </w:r>
                      <w:r>
                        <w:rPr>
                          <w:rFonts w:hint="eastAsia" w:ascii="楷体" w:hAnsi="楷体" w:eastAsia="楷体"/>
                          <w:sz w:val="48"/>
                          <w:szCs w:val="52"/>
                          <w:lang w:val="en-US" w:eastAsia="zh-CN"/>
                        </w:rPr>
                        <w:t>5</w:t>
                      </w:r>
                      <w:r>
                        <w:rPr>
                          <w:rFonts w:hint="eastAsia" w:ascii="楷体" w:hAnsi="楷体" w:eastAsia="楷体"/>
                          <w:sz w:val="48"/>
                          <w:szCs w:val="52"/>
                        </w:rPr>
                        <w:t>.</w:t>
                      </w:r>
                      <w:r>
                        <w:rPr>
                          <w:rFonts w:hint="eastAsia" w:ascii="楷体" w:hAnsi="楷体" w:eastAsia="楷体"/>
                          <w:sz w:val="48"/>
                          <w:szCs w:val="52"/>
                          <w:lang w:val="en-US" w:eastAsia="zh-CN"/>
                        </w:rPr>
                        <w:t>18</w:t>
                      </w:r>
                    </w:p>
                  </w:txbxContent>
                </v:textbox>
              </v:shape>
            </w:pict>
          </mc:Fallback>
        </mc:AlternateContent>
      </w:r>
    </w:p>
    <w:p>
      <w:pPr>
        <w:jc w:val="center"/>
        <w:rPr>
          <w:rFonts w:ascii="宋体" w:hAnsi="宋体" w:cs="宋体"/>
          <w:b/>
          <w:bCs/>
          <w:sz w:val="44"/>
          <w:szCs w:val="44"/>
        </w:rPr>
      </w:pPr>
      <w:r>
        <w:rPr>
          <w:rFonts w:hint="eastAsia" w:ascii="宋体" w:hAnsi="宋体" w:cs="宋体"/>
          <w:b/>
          <w:bCs/>
          <w:sz w:val="44"/>
          <w:szCs w:val="44"/>
        </w:rPr>
        <w:t>打造高端智库平台 助力中俄区域发展</w:t>
      </w:r>
    </w:p>
    <w:p>
      <w:pPr>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w w:val="100"/>
          <w:sz w:val="24"/>
          <w:szCs w:val="24"/>
          <w:highlight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中俄区域经济研究智库在黑龙江省委、省政府的关怀指导帮助下，秉承智慧谋划、服务决策、创新驱动、助力发展的设立宗旨，着眼我省经济社会文化发展方面的重点、热点和难点问题，开展战略性、宏观性、前瞻性研究，取得了丰厚成果，为助力中俄经济合作和我省经济发展做出了重要贡献。2023年度中俄区域经济研究智库不忘初心，继续坚持以应用研究为主，积极为省委、省政府建言献策，并与企业合作积极推进项目在龙江落地，造福百姓。</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现从以下五个方面展开具体汇报：</w:t>
      </w:r>
    </w:p>
    <w:p>
      <w:pPr>
        <w:pStyle w:val="3"/>
        <w:bidi w:val="0"/>
        <w:spacing w:line="240" w:lineRule="auto"/>
        <w:rPr>
          <w:rFonts w:hint="default"/>
          <w:sz w:val="28"/>
          <w:szCs w:val="28"/>
          <w:lang w:val="en-US" w:eastAsia="zh-CN"/>
        </w:rPr>
      </w:pPr>
      <w:bookmarkStart w:id="0" w:name="_Toc6116"/>
      <w:r>
        <w:rPr>
          <w:rFonts w:hint="eastAsia"/>
          <w:sz w:val="28"/>
          <w:szCs w:val="28"/>
          <w:lang w:val="en-US" w:eastAsia="zh-CN"/>
        </w:rPr>
        <w:t>一、积极探索理论创新成果</w:t>
      </w:r>
      <w:bookmarkEnd w:id="0"/>
      <w:r>
        <w:rPr>
          <w:rFonts w:hint="eastAsia"/>
          <w:sz w:val="28"/>
          <w:szCs w:val="28"/>
          <w:lang w:val="en-US" w:eastAsia="zh-CN"/>
        </w:rPr>
        <w:t>，通过完成高水平的课题、论文，不断提升智库建设理论高度</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中俄区域经济研究智库具有开放式研究体制，汇集各方优秀学者、企业家，能够从不同的角度着眼于龙江经济、社会、文化发展方面的重点、热点和难点问题，开展战略性、宏观性、前瞻性研究，获得对未来经济形势、对宏观调控政策的一个相对准确的预期，不断形成一批针对性强，可操作性强的研究成果。2023年度，首席专家及团队成员成果获肯定性批示采纳5项、向省部级以上部门直接报送成果</w:t>
      </w:r>
      <w:r>
        <w:rPr>
          <w:rFonts w:hint="eastAsia" w:asciiTheme="minorEastAsia" w:hAnsiTheme="minorEastAsia" w:cstheme="minorEastAsia"/>
          <w:color w:val="auto"/>
          <w:kern w:val="0"/>
          <w:sz w:val="24"/>
          <w:szCs w:val="24"/>
          <w:highlight w:val="none"/>
          <w:lang w:val="en-US" w:eastAsia="zh-CN" w:bidi="ar"/>
        </w:rPr>
        <w:t>11</w:t>
      </w:r>
      <w:r>
        <w:rPr>
          <w:rFonts w:hint="eastAsia" w:asciiTheme="minorEastAsia" w:hAnsiTheme="minorEastAsia" w:eastAsiaTheme="minorEastAsia" w:cstheme="minorEastAsia"/>
          <w:color w:val="auto"/>
          <w:kern w:val="0"/>
          <w:sz w:val="24"/>
          <w:szCs w:val="24"/>
          <w:highlight w:val="none"/>
          <w:lang w:val="en-US" w:eastAsia="zh-CN" w:bidi="ar"/>
        </w:rPr>
        <w:t>项、承担省部级以上部门直接交办课题9项、为各（地）、厅级部门提供政策咨询</w:t>
      </w:r>
      <w:r>
        <w:rPr>
          <w:rFonts w:hint="eastAsia" w:asciiTheme="minorEastAsia" w:hAnsiTheme="minorEastAsia" w:cstheme="minorEastAsia"/>
          <w:color w:val="auto"/>
          <w:kern w:val="0"/>
          <w:sz w:val="24"/>
          <w:szCs w:val="24"/>
          <w:highlight w:val="none"/>
          <w:lang w:val="en-US" w:eastAsia="zh-CN" w:bidi="ar"/>
        </w:rPr>
        <w:t>20</w:t>
      </w:r>
      <w:r>
        <w:rPr>
          <w:rFonts w:hint="eastAsia" w:asciiTheme="minorEastAsia" w:hAnsiTheme="minorEastAsia" w:eastAsiaTheme="minorEastAsia" w:cstheme="minorEastAsia"/>
          <w:color w:val="auto"/>
          <w:kern w:val="0"/>
          <w:sz w:val="24"/>
          <w:szCs w:val="24"/>
          <w:highlight w:val="none"/>
          <w:lang w:val="en-US" w:eastAsia="zh-CN" w:bidi="ar"/>
        </w:rPr>
        <w:t>项</w:t>
      </w:r>
      <w:r>
        <w:rPr>
          <w:rFonts w:hint="eastAsia" w:asciiTheme="minorEastAsia" w:hAnsiTheme="minorEastAsia" w:cstheme="minorEastAsia"/>
          <w:color w:val="auto"/>
          <w:kern w:val="0"/>
          <w:sz w:val="24"/>
          <w:szCs w:val="24"/>
          <w:highlight w:val="none"/>
          <w:lang w:val="en-US" w:eastAsia="zh-CN" w:bidi="ar"/>
        </w:rPr>
        <w:t>，承接各类项目12项实现课题收入60万。</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cstheme="minorEastAsia"/>
          <w:b w:val="0"/>
          <w:bCs w:val="0"/>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通过与</w:t>
      </w:r>
      <w:r>
        <w:rPr>
          <w:rFonts w:hint="eastAsia" w:asciiTheme="minorEastAsia" w:hAnsiTheme="minorEastAsia" w:eastAsiaTheme="minorEastAsia" w:cstheme="minorEastAsia"/>
          <w:b w:val="0"/>
          <w:bCs w:val="0"/>
          <w:color w:val="auto"/>
          <w:kern w:val="0"/>
          <w:sz w:val="24"/>
          <w:szCs w:val="24"/>
          <w:highlight w:val="none"/>
          <w:lang w:bidi="ar"/>
        </w:rPr>
        <w:t>俄罗斯哈巴</w:t>
      </w:r>
      <w:r>
        <w:rPr>
          <w:rFonts w:hint="eastAsia" w:asciiTheme="minorEastAsia" w:hAnsiTheme="minorEastAsia" w:eastAsiaTheme="minorEastAsia" w:cstheme="minorEastAsia"/>
          <w:b w:val="0"/>
          <w:bCs w:val="0"/>
          <w:color w:val="auto"/>
          <w:kern w:val="0"/>
          <w:sz w:val="24"/>
          <w:szCs w:val="24"/>
          <w:highlight w:val="none"/>
          <w:lang w:val="en-US" w:eastAsia="zh-CN" w:bidi="ar"/>
        </w:rPr>
        <w:t>罗</w:t>
      </w:r>
      <w:r>
        <w:rPr>
          <w:rFonts w:hint="eastAsia" w:asciiTheme="minorEastAsia" w:hAnsiTheme="minorEastAsia" w:eastAsiaTheme="minorEastAsia" w:cstheme="minorEastAsia"/>
          <w:b w:val="0"/>
          <w:bCs w:val="0"/>
          <w:color w:val="auto"/>
          <w:kern w:val="0"/>
          <w:sz w:val="24"/>
          <w:szCs w:val="24"/>
          <w:highlight w:val="none"/>
          <w:lang w:bidi="ar"/>
        </w:rPr>
        <w:t>夫斯克</w:t>
      </w:r>
      <w:r>
        <w:rPr>
          <w:rFonts w:hint="eastAsia" w:asciiTheme="minorEastAsia" w:hAnsiTheme="minorEastAsia" w:cstheme="minorEastAsia"/>
          <w:b w:val="0"/>
          <w:bCs w:val="0"/>
          <w:color w:val="auto"/>
          <w:kern w:val="0"/>
          <w:sz w:val="24"/>
          <w:szCs w:val="24"/>
          <w:highlight w:val="none"/>
          <w:lang w:val="en-US" w:eastAsia="zh-CN" w:bidi="ar"/>
        </w:rPr>
        <w:t>共同策划</w:t>
      </w:r>
      <w:r>
        <w:rPr>
          <w:rFonts w:hint="eastAsia" w:asciiTheme="minorEastAsia" w:hAnsiTheme="minorEastAsia" w:eastAsiaTheme="minorEastAsia" w:cstheme="minorEastAsia"/>
          <w:b w:val="0"/>
          <w:bCs w:val="0"/>
          <w:color w:val="auto"/>
          <w:kern w:val="0"/>
          <w:sz w:val="24"/>
          <w:szCs w:val="24"/>
          <w:highlight w:val="none"/>
          <w:lang w:bidi="ar"/>
        </w:rPr>
        <w:t>展览会暨</w:t>
      </w:r>
      <w:r>
        <w:rPr>
          <w:rFonts w:hint="eastAsia" w:asciiTheme="minorEastAsia" w:hAnsiTheme="minorEastAsia" w:eastAsiaTheme="minorEastAsia" w:cstheme="minorEastAsia"/>
          <w:b w:val="0"/>
          <w:bCs w:val="0"/>
          <w:color w:val="auto"/>
          <w:kern w:val="0"/>
          <w:sz w:val="24"/>
          <w:szCs w:val="24"/>
          <w:highlight w:val="none"/>
          <w:lang w:val="en-US" w:eastAsia="zh-CN" w:bidi="ar"/>
        </w:rPr>
        <w:t>中俄五金产业合作发展</w:t>
      </w:r>
      <w:r>
        <w:rPr>
          <w:rFonts w:hint="eastAsia" w:asciiTheme="minorEastAsia" w:hAnsiTheme="minorEastAsia" w:eastAsiaTheme="minorEastAsia" w:cstheme="minorEastAsia"/>
          <w:b w:val="0"/>
          <w:bCs w:val="0"/>
          <w:color w:val="auto"/>
          <w:kern w:val="0"/>
          <w:sz w:val="24"/>
          <w:szCs w:val="24"/>
          <w:highlight w:val="none"/>
          <w:lang w:bidi="ar"/>
        </w:rPr>
        <w:t>论坛</w:t>
      </w:r>
      <w:r>
        <w:rPr>
          <w:rFonts w:hint="eastAsia" w:asciiTheme="minorEastAsia" w:hAnsiTheme="minorEastAsia" w:cstheme="minorEastAsia"/>
          <w:b w:val="0"/>
          <w:bCs w:val="0"/>
          <w:color w:val="auto"/>
          <w:kern w:val="0"/>
          <w:sz w:val="24"/>
          <w:szCs w:val="24"/>
          <w:highlight w:val="none"/>
          <w:lang w:val="en-US" w:eastAsia="zh-CN" w:bidi="ar"/>
        </w:rPr>
        <w:t>进行国际深度合作，并同时与广东省加深合作策划</w:t>
      </w:r>
      <w:r>
        <w:rPr>
          <w:rFonts w:hint="eastAsia" w:asciiTheme="minorEastAsia" w:hAnsiTheme="minorEastAsia" w:eastAsiaTheme="minorEastAsia" w:cstheme="minorEastAsia"/>
          <w:b w:val="0"/>
          <w:bCs w:val="0"/>
          <w:color w:val="auto"/>
          <w:kern w:val="0"/>
          <w:sz w:val="24"/>
          <w:szCs w:val="24"/>
          <w:highlight w:val="none"/>
          <w:lang w:val="en-US" w:eastAsia="zh-CN" w:bidi="ar"/>
        </w:rPr>
        <w:t>2023龙粤产业合作发展智库论坛</w:t>
      </w:r>
      <w:r>
        <w:rPr>
          <w:rFonts w:hint="eastAsia" w:asciiTheme="minorEastAsia" w:hAnsiTheme="minorEastAsia" w:cstheme="minorEastAsia"/>
          <w:b w:val="0"/>
          <w:bCs w:val="0"/>
          <w:color w:val="auto"/>
          <w:kern w:val="0"/>
          <w:sz w:val="24"/>
          <w:szCs w:val="24"/>
          <w:highlight w:val="none"/>
          <w:lang w:val="en-US" w:eastAsia="zh-CN" w:bidi="ar"/>
        </w:rPr>
        <w:t>。智库成员作为二十大报告宣讲团成员积极深入地市进行理论、科研等宣讲交流，年度共完成31次宣讲及培训任务；智库重视媒体宣传力度，2023年度共接受《环球时报》、黑龙江日报等主流媒体采访18人次。智库同时也努力向高水平高层次的方向努力，力争研究成果能够得到党中央、国务院肯定。</w:t>
      </w:r>
    </w:p>
    <w:p>
      <w:pPr>
        <w:pStyle w:val="3"/>
        <w:bidi w:val="0"/>
        <w:spacing w:line="240" w:lineRule="auto"/>
        <w:rPr>
          <w:rFonts w:hint="eastAsia"/>
          <w:sz w:val="28"/>
          <w:szCs w:val="28"/>
          <w:lang w:val="en-US" w:eastAsia="zh-CN"/>
        </w:rPr>
      </w:pPr>
      <w:bookmarkStart w:id="1" w:name="_Toc17896"/>
      <w:r>
        <w:rPr>
          <w:rFonts w:hint="eastAsia"/>
          <w:sz w:val="28"/>
          <w:szCs w:val="28"/>
          <w:lang w:val="en-US" w:eastAsia="zh-CN"/>
        </w:rPr>
        <w:t>二、积极咨政建言，通过提交专业化、建设性、可操作的政策建议，不断提升智库的决策影响力。</w:t>
      </w:r>
    </w:p>
    <w:bookmarkEnd w:id="1"/>
    <w:p>
      <w:pPr>
        <w:pStyle w:val="4"/>
        <w:numPr>
          <w:ilvl w:val="0"/>
          <w:numId w:val="1"/>
        </w:numPr>
        <w:bidi w:val="0"/>
        <w:outlineLvl w:val="1"/>
        <w:rPr>
          <w:rFonts w:hint="eastAsia" w:asciiTheme="minorEastAsia" w:hAnsiTheme="minorEastAsia" w:eastAsiaTheme="minorEastAsia" w:cstheme="minorEastAsia"/>
          <w:b/>
          <w:bCs/>
          <w:kern w:val="2"/>
          <w:sz w:val="24"/>
          <w:szCs w:val="24"/>
          <w:highlight w:val="none"/>
          <w:lang w:val="en-US" w:eastAsia="zh-CN" w:bidi="ar-SA"/>
        </w:rPr>
      </w:pPr>
      <w:r>
        <w:rPr>
          <w:rFonts w:hint="eastAsia" w:asciiTheme="minorEastAsia" w:hAnsiTheme="minorEastAsia" w:eastAsiaTheme="minorEastAsia" w:cstheme="minorEastAsia"/>
          <w:b/>
          <w:bCs/>
          <w:kern w:val="2"/>
          <w:sz w:val="24"/>
          <w:szCs w:val="24"/>
          <w:highlight w:val="none"/>
          <w:lang w:val="en-US" w:eastAsia="zh-CN" w:bidi="ar-SA"/>
        </w:rPr>
        <w:t>为国家、省政府积极建言获得肯定性成果批示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1）曲伟：《启动中俄亿亩规模百年农业战略合作决策建议》。此文以省农科院文件专报后：省委书记许勤同志批示：请省政府组织研究推进，力争成为中俄战略合作的重要内容，纳入两国合作计划。要组织研究扩大境外种植的条件及可行性，提出意见形成报告。请慧玲同志阅示。省长梁惠玲批示：请秋实同志负责，按照许勤书记批示细化有关内容的研究，提出可行性意见报告。副省长王秋实批示</w:t>
      </w:r>
      <w:r>
        <w:rPr>
          <w:rFonts w:hint="eastAsia" w:asciiTheme="minorEastAsia" w:hAnsiTheme="minorEastAsia" w:cstheme="minorEastAsia"/>
          <w:color w:val="000000"/>
          <w:kern w:val="0"/>
          <w:sz w:val="24"/>
          <w:szCs w:val="24"/>
          <w:highlight w:val="none"/>
          <w:lang w:val="en-US" w:eastAsia="zh-CN" w:bidi="ar"/>
        </w:rPr>
        <w:t>：</w:t>
      </w:r>
      <w:r>
        <w:rPr>
          <w:rFonts w:hint="eastAsia" w:asciiTheme="minorEastAsia" w:hAnsiTheme="minorEastAsia" w:eastAsiaTheme="minorEastAsia" w:cstheme="minorEastAsia"/>
          <w:color w:val="000000"/>
          <w:kern w:val="0"/>
          <w:sz w:val="24"/>
          <w:szCs w:val="24"/>
          <w:highlight w:val="none"/>
          <w:lang w:val="en-US" w:eastAsia="zh-CN" w:bidi="ar"/>
        </w:rPr>
        <w:t>请农业农村厅兆宪同志</w:t>
      </w:r>
      <w:r>
        <w:rPr>
          <w:rFonts w:hint="eastAsia" w:asciiTheme="minorEastAsia" w:hAnsiTheme="minorEastAsia" w:cstheme="minorEastAsia"/>
          <w:color w:val="000000"/>
          <w:kern w:val="0"/>
          <w:sz w:val="24"/>
          <w:szCs w:val="24"/>
          <w:highlight w:val="none"/>
          <w:lang w:val="en-US" w:eastAsia="zh-CN" w:bidi="ar"/>
        </w:rPr>
        <w:t>作</w:t>
      </w:r>
      <w:r>
        <w:rPr>
          <w:rFonts w:hint="eastAsia" w:asciiTheme="minorEastAsia" w:hAnsiTheme="minorEastAsia" w:eastAsiaTheme="minorEastAsia" w:cstheme="minorEastAsia"/>
          <w:color w:val="000000"/>
          <w:kern w:val="0"/>
          <w:sz w:val="24"/>
          <w:szCs w:val="24"/>
          <w:highlight w:val="none"/>
          <w:lang w:val="en-US" w:eastAsia="zh-CN" w:bidi="ar"/>
        </w:rPr>
        <w:t>个安排，专题研究。</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（2）曲伟：《专家建议研判中俄亿亩农业合作、打造“域外北大仓”》。新华社记者采访作者曲伟等专家后，5月3日在新华社《国内动态清样》第1716期刊发，许勤书记5月7日在新华社〈国内动态清样〉上批示：请</w:t>
      </w:r>
      <w:r>
        <w:rPr>
          <w:rFonts w:hint="eastAsia" w:asciiTheme="minorEastAsia" w:hAnsiTheme="minorEastAsia" w:cstheme="minorEastAsia"/>
          <w:color w:val="000000"/>
          <w:kern w:val="0"/>
          <w:sz w:val="24"/>
          <w:szCs w:val="24"/>
          <w:highlight w:val="none"/>
          <w:lang w:val="en-US" w:eastAsia="zh-CN" w:bidi="ar"/>
        </w:rPr>
        <w:t>惠</w:t>
      </w:r>
      <w:r>
        <w:rPr>
          <w:rFonts w:hint="eastAsia" w:asciiTheme="minorEastAsia" w:hAnsiTheme="minorEastAsia" w:eastAsiaTheme="minorEastAsia" w:cstheme="minorEastAsia"/>
          <w:color w:val="000000"/>
          <w:kern w:val="0"/>
          <w:sz w:val="24"/>
          <w:szCs w:val="24"/>
          <w:highlight w:val="none"/>
          <w:lang w:val="en-US" w:eastAsia="zh-CN" w:bidi="ar"/>
        </w:rPr>
        <w:t>玲同志、秋实同志阅示。要组织研究扩大境外种植的条件与可行性，提出意见形成报告。</w:t>
      </w:r>
      <w:r>
        <w:rPr>
          <w:rFonts w:hint="eastAsia" w:asciiTheme="minorEastAsia" w:hAnsiTheme="minorEastAsia" w:cstheme="minorEastAsia"/>
          <w:color w:val="000000"/>
          <w:kern w:val="0"/>
          <w:sz w:val="24"/>
          <w:szCs w:val="24"/>
          <w:highlight w:val="none"/>
          <w:lang w:val="en-US" w:eastAsia="zh-CN" w:bidi="ar"/>
        </w:rPr>
        <w:t>惠</w:t>
      </w:r>
      <w:r>
        <w:rPr>
          <w:rFonts w:hint="eastAsia" w:asciiTheme="minorEastAsia" w:hAnsiTheme="minorEastAsia" w:eastAsiaTheme="minorEastAsia" w:cstheme="minorEastAsia"/>
          <w:color w:val="000000"/>
          <w:kern w:val="0"/>
          <w:sz w:val="24"/>
          <w:szCs w:val="24"/>
          <w:highlight w:val="none"/>
          <w:lang w:val="en-US" w:eastAsia="zh-CN" w:bidi="ar"/>
        </w:rPr>
        <w:t>玲省长批示：请秋实同志负责落实。秋实副省长批示：请韩库同志按书记省长要求，组织农业农村厅、农科院专题研究并提出具体意见送审。韩库秘书长批示：请农业农村厅、农科院、商务厅按许勤书记惠玲省长批示要求和秋实副省长部署，提出具体意见适时上会研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3）曲伟：《关于支持陕西农垦集团在哈尔滨投资建设“俄粮回运保税物流加工综合体的建议”》，省政府研究室《决策建议》第七期刊发。6月30日获副省长韩圣健批示：“请省商务厅、哈尔滨市阅研”。9月份，哈尔滨保税区铁路专用线即已启动投资建设。</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4）曲伟：《关于启动中俄亿亩百年农业战略合作决策的建议》，省委、省政府领导批示：省委书记许勤同志批示：请省政府组织研究推进，力争成为中俄战略合作的重要内容，纳入两国合作计划。请慧玲同志阅示。梁惠玲省长批示：请秋实同志负责，按照许勤书记批示细化有关内容的研究，提出可行性意见报告。王秋实副省长批示</w:t>
      </w:r>
      <w:r>
        <w:rPr>
          <w:rFonts w:hint="eastAsia" w:asciiTheme="minorEastAsia" w:hAnsiTheme="minorEastAsia" w:cstheme="minorEastAsia"/>
          <w:color w:val="000000"/>
          <w:kern w:val="0"/>
          <w:sz w:val="24"/>
          <w:szCs w:val="24"/>
          <w:highlight w:val="none"/>
          <w:lang w:val="en-US" w:eastAsia="zh-CN" w:bidi="ar"/>
        </w:rPr>
        <w:t>：</w:t>
      </w:r>
      <w:r>
        <w:rPr>
          <w:rFonts w:hint="eastAsia" w:asciiTheme="minorEastAsia" w:hAnsiTheme="minorEastAsia" w:eastAsiaTheme="minorEastAsia" w:cstheme="minorEastAsia"/>
          <w:color w:val="000000"/>
          <w:kern w:val="0"/>
          <w:sz w:val="24"/>
          <w:szCs w:val="24"/>
          <w:highlight w:val="none"/>
          <w:lang w:val="en-US" w:eastAsia="zh-CN" w:bidi="ar"/>
        </w:rPr>
        <w:t>请农业农村厅兆宪同志</w:t>
      </w:r>
      <w:r>
        <w:rPr>
          <w:rFonts w:hint="eastAsia" w:asciiTheme="minorEastAsia" w:hAnsiTheme="minorEastAsia" w:cstheme="minorEastAsia"/>
          <w:color w:val="000000"/>
          <w:kern w:val="0"/>
          <w:sz w:val="24"/>
          <w:szCs w:val="24"/>
          <w:highlight w:val="none"/>
          <w:lang w:val="en-US" w:eastAsia="zh-CN" w:bidi="ar"/>
        </w:rPr>
        <w:t>作</w:t>
      </w:r>
      <w:r>
        <w:rPr>
          <w:rFonts w:hint="eastAsia" w:asciiTheme="minorEastAsia" w:hAnsiTheme="minorEastAsia" w:eastAsiaTheme="minorEastAsia" w:cstheme="minorEastAsia"/>
          <w:color w:val="000000"/>
          <w:kern w:val="0"/>
          <w:sz w:val="24"/>
          <w:szCs w:val="24"/>
          <w:highlight w:val="none"/>
          <w:lang w:val="en-US" w:eastAsia="zh-CN" w:bidi="ar"/>
        </w:rPr>
        <w:t>个安排，专题研究。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（5）宋魁、宋晓松：《建议把黑河打造成向北开放第一市》，省商务厅等《决策参考》2023年第 期8月6日黑河市委书记李锡文批示：“请荣国组长阅”，省科顾委 8月2日给张民。</w:t>
      </w:r>
    </w:p>
    <w:p>
      <w:pPr>
        <w:pStyle w:val="4"/>
        <w:numPr>
          <w:ilvl w:val="0"/>
          <w:numId w:val="1"/>
        </w:numPr>
        <w:bidi w:val="0"/>
        <w:outlineLvl w:val="1"/>
        <w:rPr>
          <w:rFonts w:hint="eastAsia" w:asciiTheme="minorEastAsia" w:hAnsiTheme="minorEastAsia" w:eastAsiaTheme="minorEastAsia" w:cstheme="minorEastAsia"/>
          <w:b/>
          <w:bCs/>
          <w:kern w:val="2"/>
          <w:sz w:val="24"/>
          <w:szCs w:val="24"/>
          <w:highlight w:val="none"/>
          <w:lang w:val="en-US" w:eastAsia="zh-CN" w:bidi="ar-SA"/>
        </w:rPr>
      </w:pPr>
      <w:r>
        <w:rPr>
          <w:rFonts w:hint="eastAsia" w:asciiTheme="minorEastAsia" w:hAnsiTheme="minorEastAsia" w:eastAsiaTheme="minorEastAsia" w:cstheme="minorEastAsia"/>
          <w:b/>
          <w:bCs/>
          <w:kern w:val="2"/>
          <w:sz w:val="24"/>
          <w:szCs w:val="24"/>
          <w:highlight w:val="none"/>
          <w:lang w:val="en-US" w:eastAsia="zh-CN" w:bidi="ar-SA"/>
        </w:rPr>
        <w:t>承担各类课题，服务龙江各地市</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color w:val="000000"/>
          <w:kern w:val="0"/>
          <w:sz w:val="24"/>
          <w:szCs w:val="24"/>
          <w:highlight w:val="none"/>
          <w:lang w:val="en-US" w:eastAsia="zh-CN" w:bidi="ar"/>
        </w:rPr>
        <w:t>共完成省政府办公厅直接委派课题</w:t>
      </w:r>
      <w:r>
        <w:rPr>
          <w:rFonts w:hint="eastAsia" w:asciiTheme="minorEastAsia" w:hAnsiTheme="minorEastAsia" w:eastAsiaTheme="minorEastAsia" w:cstheme="minorEastAsia"/>
          <w:color w:val="000000"/>
          <w:kern w:val="0"/>
          <w:sz w:val="24"/>
          <w:szCs w:val="24"/>
          <w:highlight w:val="none"/>
          <w:lang w:val="en-US" w:eastAsia="zh-CN" w:bidi="ar"/>
        </w:rPr>
        <w:t>《建议把黑河打造成向北开放第一市》《黑龙江省对黑瞎子岛开发的几点建议》《中俄北极航道合作的新机遇及对策》《黑龙江省对俄区域粮食安全合作的任务及实现路径研究》《实施强省先抢哈尔滨战略研究》</w:t>
      </w:r>
      <w:r>
        <w:rPr>
          <w:rFonts w:hint="eastAsia" w:asciiTheme="minorEastAsia" w:hAnsiTheme="minorEastAsia" w:cstheme="minorEastAsia"/>
          <w:color w:val="000000"/>
          <w:kern w:val="0"/>
          <w:sz w:val="24"/>
          <w:szCs w:val="24"/>
          <w:highlight w:val="none"/>
          <w:lang w:val="en-US" w:eastAsia="zh-CN" w:bidi="ar"/>
        </w:rPr>
        <w:t>；</w:t>
      </w:r>
      <w:r>
        <w:rPr>
          <w:rFonts w:hint="eastAsia" w:asciiTheme="minorEastAsia" w:hAnsiTheme="minorEastAsia" w:eastAsiaTheme="minorEastAsia" w:cstheme="minorEastAsia"/>
          <w:color w:val="000000"/>
          <w:kern w:val="0"/>
          <w:sz w:val="24"/>
          <w:szCs w:val="24"/>
          <w:highlight w:val="none"/>
          <w:lang w:val="en-US" w:eastAsia="zh-CN" w:bidi="ar"/>
        </w:rPr>
        <w:t>完成哈尔滨市政府课题：《哈尔滨市对俄合作现状问题与对策》《哈尔滨对俄产业大项目合作战略研究》《哈尔滨市对俄合作工作方案》《构建哈尔滨经济特区的决策建议》</w:t>
      </w:r>
      <w:r>
        <w:rPr>
          <w:rFonts w:hint="eastAsia" w:asciiTheme="minorEastAsia" w:hAnsiTheme="minorEastAsia" w:cstheme="minorEastAsia"/>
          <w:color w:val="000000"/>
          <w:kern w:val="0"/>
          <w:sz w:val="24"/>
          <w:szCs w:val="24"/>
          <w:highlight w:val="none"/>
          <w:lang w:val="en-US" w:eastAsia="zh-CN" w:bidi="ar"/>
        </w:rPr>
        <w:t>；完成省社科规划课题《黑龙江省渔业高质量发展实施路径研究》《农业数字化转型助力黑龙江省现代农业振兴路径研究》《黑龙江省对俄区域粮食安全合作的任务及实现路径研究》等20余项。</w:t>
      </w:r>
    </w:p>
    <w:p>
      <w:pPr>
        <w:pStyle w:val="4"/>
        <w:numPr>
          <w:ilvl w:val="0"/>
          <w:numId w:val="1"/>
        </w:numPr>
        <w:bidi w:val="0"/>
        <w:outlineLvl w:val="1"/>
        <w:rPr>
          <w:rFonts w:hint="eastAsia" w:asciiTheme="minorEastAsia" w:hAnsiTheme="minorEastAsia" w:eastAsiaTheme="minorEastAsia" w:cstheme="minorEastAsia"/>
          <w:b/>
          <w:bCs/>
          <w:kern w:val="2"/>
          <w:sz w:val="24"/>
          <w:szCs w:val="24"/>
          <w:highlight w:val="none"/>
          <w:lang w:val="en-US" w:eastAsia="zh-CN" w:bidi="ar-SA"/>
        </w:rPr>
      </w:pPr>
      <w:bookmarkStart w:id="2" w:name="_Toc10136"/>
      <w:r>
        <w:rPr>
          <w:rFonts w:hint="eastAsia" w:asciiTheme="minorEastAsia" w:hAnsiTheme="minorEastAsia" w:eastAsiaTheme="minorEastAsia" w:cstheme="minorEastAsia"/>
          <w:b/>
          <w:bCs/>
          <w:kern w:val="2"/>
          <w:sz w:val="24"/>
          <w:szCs w:val="24"/>
          <w:highlight w:val="none"/>
          <w:lang w:val="en-US" w:eastAsia="zh-CN" w:bidi="ar-SA"/>
        </w:rPr>
        <w:t>积极为各（地）、厅级部门提供落地政策咨询</w:t>
      </w:r>
      <w:bookmarkEnd w:id="2"/>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b w:val="0"/>
          <w:bCs w:val="0"/>
          <w:color w:val="000000"/>
          <w:kern w:val="0"/>
          <w:sz w:val="24"/>
          <w:szCs w:val="24"/>
          <w:highlight w:val="none"/>
          <w:lang w:val="en-US" w:eastAsia="zh-CN" w:bidi="ar"/>
        </w:rPr>
      </w:pPr>
      <w:r>
        <w:rPr>
          <w:rFonts w:hint="eastAsia" w:asciiTheme="minorEastAsia" w:hAnsiTheme="minorEastAsia" w:cstheme="minorEastAsia"/>
          <w:kern w:val="2"/>
          <w:sz w:val="24"/>
          <w:szCs w:val="24"/>
          <w:highlight w:val="none"/>
          <w:lang w:val="en-US" w:eastAsia="zh-CN" w:bidi="ar-SA"/>
        </w:rPr>
        <w:t>通过实地调研考察完成</w:t>
      </w:r>
      <w:r>
        <w:rPr>
          <w:rFonts w:hint="eastAsia" w:asciiTheme="minorEastAsia" w:hAnsiTheme="minorEastAsia" w:eastAsiaTheme="minorEastAsia" w:cstheme="minorEastAsia"/>
          <w:kern w:val="2"/>
          <w:sz w:val="24"/>
          <w:szCs w:val="24"/>
          <w:highlight w:val="none"/>
          <w:lang w:val="en-US" w:eastAsia="zh-CN" w:bidi="ar-SA"/>
        </w:rPr>
        <w:t>《建议国家批准设立“哈尔滨特区”》《抓住俄远东建立经济特区的机遇扩大向北开放》《建议国家批准设立“哈尔滨特区”》《发挥三大优势 寻求三大突破 加快打造七大都市的建议》《将生猪养殖打造成哈尔滨支柱产业的建议——选择落实习总书记“五头五尾”知识的突破口》《在哈尔滨建设“对俄合作经济特区”的建议》《关于在我省开展对俄数字化教育合作的建议》《建议把黑河打造成向北开放第一市》《哈尔滨市落实强省会战略的宏观问题研究》《关于打造以企业为主体的对俄科技创新合作联合体构建我市对俄科技合作新优势的建议》《关于引入智慧水务解决方案的建议》《关于支持陕西农垦集团在哈尔滨市投资建设“俄粮回运保税加工物流综合体”的建议》《俄乌冲突背景下黑龙江省对俄贸易合作高质量发展对策建议》《2021黑龙江省拍卖业、洗染业、零售业、仓储业、汽车销售业、直销业行业6个分析报告》《俄乌冲突背景下抓住机遇抢占俄罗斯市场发展黑龙江省汽车及关联产业的对策建议》《石墨烯电采暖锅炉东北地区市场发展战略》</w:t>
      </w:r>
      <w:bookmarkStart w:id="3" w:name="_Toc30952"/>
      <w:r>
        <w:rPr>
          <w:rFonts w:hint="eastAsia" w:asciiTheme="minorEastAsia" w:hAnsiTheme="minorEastAsia" w:cstheme="minorEastAsia"/>
          <w:kern w:val="2"/>
          <w:sz w:val="24"/>
          <w:szCs w:val="24"/>
          <w:highlight w:val="none"/>
          <w:lang w:val="en-US" w:eastAsia="zh-CN" w:bidi="ar-SA"/>
        </w:rPr>
        <w:t>等调研报告，服务于各地市。</w:t>
      </w:r>
    </w:p>
    <w:p>
      <w:pPr>
        <w:pStyle w:val="3"/>
        <w:bidi w:val="0"/>
        <w:spacing w:line="240" w:lineRule="auto"/>
        <w:rPr>
          <w:rFonts w:hint="eastAsia"/>
          <w:sz w:val="28"/>
          <w:szCs w:val="28"/>
          <w:lang w:val="en-US" w:eastAsia="zh-CN"/>
        </w:rPr>
      </w:pPr>
      <w:r>
        <w:rPr>
          <w:rFonts w:hint="eastAsia"/>
          <w:sz w:val="28"/>
          <w:szCs w:val="28"/>
          <w:lang w:val="en-US" w:eastAsia="zh-CN"/>
        </w:rPr>
        <w:t>三、增强国际的交流合作，借助媒体力量为龙江发声</w:t>
      </w:r>
    </w:p>
    <w:p>
      <w:pPr>
        <w:pStyle w:val="4"/>
        <w:numPr>
          <w:ilvl w:val="0"/>
          <w:numId w:val="0"/>
        </w:numPr>
        <w:bidi w:val="0"/>
        <w:outlineLvl w:val="1"/>
        <w:rPr>
          <w:rFonts w:hint="eastAsia" w:asciiTheme="minorEastAsia" w:hAnsiTheme="minorEastAsia" w:eastAsiaTheme="minorEastAsia" w:cstheme="minorEastAsia"/>
          <w:b/>
          <w:bCs/>
          <w:kern w:val="2"/>
          <w:sz w:val="24"/>
          <w:szCs w:val="24"/>
          <w:highlight w:val="none"/>
          <w:lang w:val="en-US" w:eastAsia="zh-CN" w:bidi="ar-SA"/>
        </w:rPr>
      </w:pPr>
      <w:r>
        <w:rPr>
          <w:rFonts w:hint="eastAsia" w:asciiTheme="minorEastAsia" w:hAnsiTheme="minorEastAsia" w:eastAsiaTheme="minorEastAsia" w:cstheme="minorEastAsia"/>
          <w:b/>
          <w:bCs/>
          <w:kern w:val="2"/>
          <w:sz w:val="24"/>
          <w:szCs w:val="24"/>
          <w:highlight w:val="none"/>
          <w:lang w:val="en-US" w:eastAsia="zh-CN" w:bidi="ar-SA"/>
        </w:rPr>
        <w:t>1.通过举办和参加国内外学术会议，不断提升智库的国内和国际影响力。</w:t>
      </w:r>
    </w:p>
    <w:bookmarkEnd w:id="3"/>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color w:val="000000"/>
          <w:kern w:val="0"/>
          <w:sz w:val="24"/>
          <w:szCs w:val="24"/>
          <w:highlight w:val="none"/>
          <w:lang w:val="en-US" w:eastAsia="zh-CN" w:bidi="ar"/>
        </w:rPr>
      </w:pPr>
      <w:r>
        <w:rPr>
          <w:rFonts w:hint="eastAsia" w:asciiTheme="minorEastAsia" w:hAnsiTheme="minorEastAsia" w:eastAsiaTheme="minorEastAsia" w:cstheme="minorEastAsia"/>
          <w:b w:val="0"/>
          <w:bCs w:val="0"/>
          <w:color w:val="000000"/>
          <w:kern w:val="0"/>
          <w:sz w:val="24"/>
          <w:szCs w:val="24"/>
          <w:highlight w:val="none"/>
          <w:lang w:val="en-US" w:eastAsia="zh-CN" w:bidi="ar"/>
        </w:rPr>
        <w:t>（1）智库首席专家宋魁研究员撰写</w:t>
      </w:r>
      <w:r>
        <w:rPr>
          <w:rFonts w:hint="eastAsia" w:asciiTheme="minorEastAsia" w:hAnsiTheme="minorEastAsia" w:eastAsiaTheme="minorEastAsia" w:cstheme="minorEastAsia"/>
          <w:color w:val="000000"/>
          <w:kern w:val="0"/>
          <w:sz w:val="24"/>
          <w:szCs w:val="24"/>
          <w:highlight w:val="none"/>
          <w:lang w:val="en-US" w:eastAsia="zh-CN" w:bidi="ar"/>
        </w:rPr>
        <w:t>中俄区域经济研究院</w:t>
      </w:r>
      <w:r>
        <w:rPr>
          <w:rFonts w:hint="eastAsia" w:asciiTheme="minorEastAsia" w:hAnsiTheme="minorEastAsia" w:eastAsiaTheme="minorEastAsia" w:cstheme="minorEastAsia"/>
          <w:color w:val="000000"/>
          <w:kern w:val="0"/>
          <w:sz w:val="24"/>
          <w:szCs w:val="24"/>
          <w:highlight w:val="none"/>
          <w:lang w:bidi="ar"/>
        </w:rPr>
        <w:t>拟策划举办“</w:t>
      </w:r>
      <w:r>
        <w:rPr>
          <w:rFonts w:hint="eastAsia" w:asciiTheme="minorEastAsia" w:hAnsiTheme="minorEastAsia" w:eastAsiaTheme="minorEastAsia" w:cstheme="minorEastAsia"/>
          <w:b w:val="0"/>
          <w:bCs w:val="0"/>
          <w:color w:val="000000"/>
          <w:kern w:val="0"/>
          <w:sz w:val="24"/>
          <w:szCs w:val="24"/>
          <w:highlight w:val="none"/>
          <w:lang w:bidi="ar"/>
        </w:rPr>
        <w:t>中国五金</w:t>
      </w:r>
      <w:r>
        <w:rPr>
          <w:rFonts w:hint="eastAsia" w:asciiTheme="minorEastAsia" w:hAnsiTheme="minorEastAsia" w:eastAsiaTheme="minorEastAsia" w:cstheme="minorEastAsia"/>
          <w:b w:val="0"/>
          <w:bCs w:val="0"/>
          <w:color w:val="000000"/>
          <w:kern w:val="0"/>
          <w:sz w:val="24"/>
          <w:szCs w:val="24"/>
          <w:highlight w:val="none"/>
          <w:lang w:val="en-US" w:eastAsia="zh-CN" w:bidi="ar"/>
        </w:rPr>
        <w:t>产业</w:t>
      </w:r>
      <w:r>
        <w:rPr>
          <w:rFonts w:hint="eastAsia" w:asciiTheme="minorEastAsia" w:hAnsiTheme="minorEastAsia" w:eastAsiaTheme="minorEastAsia" w:cstheme="minorEastAsia"/>
          <w:b w:val="0"/>
          <w:bCs w:val="0"/>
          <w:color w:val="000000"/>
          <w:kern w:val="0"/>
          <w:sz w:val="24"/>
          <w:szCs w:val="24"/>
          <w:highlight w:val="none"/>
          <w:lang w:eastAsia="zh-CN" w:bidi="ar"/>
        </w:rPr>
        <w:t>（</w:t>
      </w:r>
      <w:r>
        <w:rPr>
          <w:rFonts w:hint="eastAsia" w:asciiTheme="minorEastAsia" w:hAnsiTheme="minorEastAsia" w:eastAsiaTheme="minorEastAsia" w:cstheme="minorEastAsia"/>
          <w:b w:val="0"/>
          <w:bCs w:val="0"/>
          <w:color w:val="000000"/>
          <w:kern w:val="0"/>
          <w:sz w:val="24"/>
          <w:szCs w:val="24"/>
          <w:highlight w:val="none"/>
          <w:lang w:bidi="ar"/>
        </w:rPr>
        <w:t>俄罗斯哈巴</w:t>
      </w:r>
      <w:r>
        <w:rPr>
          <w:rFonts w:hint="eastAsia" w:asciiTheme="minorEastAsia" w:hAnsiTheme="minorEastAsia" w:eastAsiaTheme="minorEastAsia" w:cstheme="minorEastAsia"/>
          <w:b w:val="0"/>
          <w:bCs w:val="0"/>
          <w:color w:val="000000"/>
          <w:kern w:val="0"/>
          <w:sz w:val="24"/>
          <w:szCs w:val="24"/>
          <w:highlight w:val="none"/>
          <w:lang w:val="en-US" w:eastAsia="zh-CN" w:bidi="ar"/>
        </w:rPr>
        <w:t>罗</w:t>
      </w:r>
      <w:r>
        <w:rPr>
          <w:rFonts w:hint="eastAsia" w:asciiTheme="minorEastAsia" w:hAnsiTheme="minorEastAsia" w:eastAsiaTheme="minorEastAsia" w:cstheme="minorEastAsia"/>
          <w:b w:val="0"/>
          <w:bCs w:val="0"/>
          <w:color w:val="000000"/>
          <w:kern w:val="0"/>
          <w:sz w:val="24"/>
          <w:szCs w:val="24"/>
          <w:highlight w:val="none"/>
          <w:lang w:bidi="ar"/>
        </w:rPr>
        <w:t>夫斯克</w:t>
      </w:r>
      <w:r>
        <w:rPr>
          <w:rFonts w:hint="eastAsia" w:asciiTheme="minorEastAsia" w:hAnsiTheme="minorEastAsia" w:eastAsiaTheme="minorEastAsia" w:cstheme="minorEastAsia"/>
          <w:b w:val="0"/>
          <w:bCs w:val="0"/>
          <w:color w:val="000000"/>
          <w:kern w:val="0"/>
          <w:sz w:val="24"/>
          <w:szCs w:val="24"/>
          <w:highlight w:val="none"/>
          <w:lang w:eastAsia="zh-CN" w:bidi="ar"/>
        </w:rPr>
        <w:t>）</w:t>
      </w:r>
      <w:r>
        <w:rPr>
          <w:rFonts w:hint="eastAsia" w:asciiTheme="minorEastAsia" w:hAnsiTheme="minorEastAsia" w:eastAsiaTheme="minorEastAsia" w:cstheme="minorEastAsia"/>
          <w:b w:val="0"/>
          <w:bCs w:val="0"/>
          <w:color w:val="000000"/>
          <w:kern w:val="0"/>
          <w:sz w:val="24"/>
          <w:szCs w:val="24"/>
          <w:highlight w:val="none"/>
          <w:lang w:bidi="ar"/>
        </w:rPr>
        <w:t>展览会暨</w:t>
      </w:r>
      <w:r>
        <w:rPr>
          <w:rFonts w:hint="eastAsia" w:asciiTheme="minorEastAsia" w:hAnsiTheme="minorEastAsia" w:eastAsiaTheme="minorEastAsia" w:cstheme="minorEastAsia"/>
          <w:b w:val="0"/>
          <w:bCs w:val="0"/>
          <w:color w:val="000000"/>
          <w:kern w:val="0"/>
          <w:sz w:val="24"/>
          <w:szCs w:val="24"/>
          <w:highlight w:val="none"/>
          <w:lang w:val="en-US" w:eastAsia="zh-CN" w:bidi="ar"/>
        </w:rPr>
        <w:t>中俄五金产业合作发展</w:t>
      </w:r>
      <w:r>
        <w:rPr>
          <w:rFonts w:hint="eastAsia" w:asciiTheme="minorEastAsia" w:hAnsiTheme="minorEastAsia" w:eastAsiaTheme="minorEastAsia" w:cstheme="minorEastAsia"/>
          <w:b w:val="0"/>
          <w:bCs w:val="0"/>
          <w:color w:val="000000"/>
          <w:kern w:val="0"/>
          <w:sz w:val="24"/>
          <w:szCs w:val="24"/>
          <w:highlight w:val="none"/>
          <w:lang w:bidi="ar"/>
        </w:rPr>
        <w:t>论坛”</w:t>
      </w:r>
      <w:r>
        <w:rPr>
          <w:rFonts w:hint="eastAsia" w:asciiTheme="minorEastAsia" w:hAnsiTheme="minorEastAsia" w:eastAsiaTheme="minorEastAsia" w:cstheme="minorEastAsia"/>
          <w:b w:val="0"/>
          <w:bCs w:val="0"/>
          <w:color w:val="000000"/>
          <w:kern w:val="0"/>
          <w:sz w:val="24"/>
          <w:szCs w:val="24"/>
          <w:highlight w:val="none"/>
          <w:lang w:val="en-US" w:eastAsia="zh-CN" w:bidi="ar"/>
        </w:rPr>
        <w:t>方案。</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color w:val="000000"/>
          <w:kern w:val="0"/>
          <w:sz w:val="24"/>
          <w:szCs w:val="24"/>
          <w:highlight w:val="none"/>
          <w:lang w:val="en-US" w:eastAsia="zh-CN" w:bidi="ar"/>
        </w:rPr>
      </w:pPr>
      <w:r>
        <w:rPr>
          <w:rFonts w:hint="eastAsia" w:asciiTheme="minorEastAsia" w:hAnsiTheme="minorEastAsia" w:eastAsiaTheme="minorEastAsia" w:cstheme="minorEastAsia"/>
          <w:b w:val="0"/>
          <w:bCs w:val="0"/>
          <w:color w:val="000000"/>
          <w:kern w:val="0"/>
          <w:sz w:val="24"/>
          <w:szCs w:val="24"/>
          <w:highlight w:val="none"/>
          <w:lang w:val="en-US" w:eastAsia="zh-CN" w:bidi="ar"/>
        </w:rPr>
        <w:t>（2）智库首席专家宋魁研究员撰写《2023龙粤产业合作发展智库论坛筹备工作方案》。</w:t>
      </w:r>
    </w:p>
    <w:p>
      <w:pPr>
        <w:pStyle w:val="4"/>
        <w:numPr>
          <w:ilvl w:val="0"/>
          <w:numId w:val="0"/>
        </w:numPr>
        <w:bidi w:val="0"/>
        <w:outlineLvl w:val="1"/>
        <w:rPr>
          <w:rFonts w:hint="eastAsia" w:asciiTheme="minorEastAsia" w:hAnsiTheme="minorEastAsia" w:eastAsiaTheme="minorEastAsia" w:cstheme="minorEastAsia"/>
          <w:b/>
          <w:bCs/>
          <w:kern w:val="2"/>
          <w:sz w:val="24"/>
          <w:szCs w:val="24"/>
          <w:highlight w:val="none"/>
          <w:lang w:val="en-US" w:eastAsia="zh-CN" w:bidi="ar-SA"/>
        </w:rPr>
      </w:pPr>
      <w:bookmarkStart w:id="4" w:name="_Toc26158"/>
      <w:r>
        <w:rPr>
          <w:rFonts w:hint="eastAsia" w:asciiTheme="minorEastAsia" w:hAnsiTheme="minorEastAsia" w:eastAsiaTheme="minorEastAsia" w:cstheme="minorEastAsia"/>
          <w:b/>
          <w:bCs/>
          <w:kern w:val="2"/>
          <w:sz w:val="24"/>
          <w:szCs w:val="24"/>
          <w:highlight w:val="none"/>
          <w:lang w:val="en-US" w:eastAsia="zh-CN" w:bidi="ar-SA"/>
        </w:rPr>
        <w:t>2.借助媒体力量智库谈中俄发展核心观点</w:t>
      </w:r>
      <w:bookmarkEnd w:id="4"/>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color w:val="000000"/>
          <w:kern w:val="0"/>
          <w:sz w:val="24"/>
          <w:szCs w:val="24"/>
          <w:highlight w:val="none"/>
          <w:lang w:val="en-US" w:eastAsia="zh-CN" w:bidi="ar"/>
        </w:rPr>
      </w:pPr>
      <w:r>
        <w:rPr>
          <w:rFonts w:hint="eastAsia" w:ascii="宋体" w:hAnsi="宋体" w:cs="宋体"/>
          <w:sz w:val="24"/>
          <w:lang w:val="en-US" w:eastAsia="zh-CN"/>
        </w:rPr>
        <w:t>年度智库首席专家共接受《环球时报》、黑龙江日报等主流媒体就</w:t>
      </w:r>
      <w:r>
        <w:rPr>
          <w:rFonts w:hint="eastAsia" w:asciiTheme="minorEastAsia" w:hAnsiTheme="minorEastAsia" w:eastAsiaTheme="minorEastAsia" w:cstheme="minorEastAsia"/>
          <w:b w:val="0"/>
          <w:bCs w:val="0"/>
          <w:color w:val="000000"/>
          <w:kern w:val="0"/>
          <w:sz w:val="24"/>
          <w:szCs w:val="24"/>
          <w:highlight w:val="none"/>
          <w:lang w:val="en-US" w:eastAsia="zh-CN" w:bidi="ar"/>
        </w:rPr>
        <w:t>俄罗斯对中国自疫情开放后首次用班列进行冷链运输带来新机遇</w:t>
      </w:r>
      <w:r>
        <w:rPr>
          <w:rFonts w:hint="eastAsia" w:asciiTheme="minorEastAsia" w:hAnsiTheme="minorEastAsia" w:cstheme="minorEastAsia"/>
          <w:b w:val="0"/>
          <w:bCs w:val="0"/>
          <w:color w:val="000000"/>
          <w:kern w:val="0"/>
          <w:sz w:val="24"/>
          <w:szCs w:val="24"/>
          <w:highlight w:val="none"/>
          <w:lang w:val="en-US" w:eastAsia="zh-CN" w:bidi="ar"/>
        </w:rPr>
        <w:t>、</w:t>
      </w:r>
      <w:r>
        <w:rPr>
          <w:rFonts w:hint="eastAsia" w:asciiTheme="minorEastAsia" w:hAnsiTheme="minorEastAsia" w:eastAsiaTheme="minorEastAsia" w:cstheme="minorEastAsia"/>
          <w:b w:val="0"/>
          <w:bCs w:val="0"/>
          <w:color w:val="000000"/>
          <w:kern w:val="0"/>
          <w:sz w:val="24"/>
          <w:szCs w:val="24"/>
          <w:highlight w:val="none"/>
          <w:lang w:val="en-US" w:eastAsia="zh-CN" w:bidi="ar"/>
        </w:rPr>
        <w:t>俄罗斯在东盟国家的贸易合作中洽谈改用本币结算的行为和美方试图阻挡各国互相合作</w:t>
      </w:r>
      <w:r>
        <w:rPr>
          <w:rFonts w:hint="eastAsia" w:asciiTheme="minorEastAsia" w:hAnsiTheme="minorEastAsia" w:cstheme="minorEastAsia"/>
          <w:b w:val="0"/>
          <w:bCs w:val="0"/>
          <w:color w:val="000000"/>
          <w:kern w:val="0"/>
          <w:sz w:val="24"/>
          <w:szCs w:val="24"/>
          <w:highlight w:val="none"/>
          <w:lang w:val="en-US" w:eastAsia="zh-CN" w:bidi="ar"/>
        </w:rPr>
        <w:t>、</w:t>
      </w:r>
      <w:r>
        <w:rPr>
          <w:rFonts w:hint="eastAsia" w:asciiTheme="minorEastAsia" w:hAnsiTheme="minorEastAsia" w:eastAsiaTheme="minorEastAsia" w:cstheme="minorEastAsia"/>
          <w:b w:val="0"/>
          <w:bCs w:val="0"/>
          <w:color w:val="000000"/>
          <w:kern w:val="0"/>
          <w:sz w:val="24"/>
          <w:szCs w:val="24"/>
          <w:highlight w:val="none"/>
          <w:lang w:val="en-US" w:eastAsia="zh-CN" w:bidi="ar"/>
        </w:rPr>
        <w:t>中俄贸易前7个月的数据变化</w:t>
      </w:r>
      <w:r>
        <w:rPr>
          <w:rFonts w:hint="eastAsia" w:asciiTheme="minorEastAsia" w:hAnsiTheme="minorEastAsia" w:cstheme="minorEastAsia"/>
          <w:b w:val="0"/>
          <w:bCs w:val="0"/>
          <w:color w:val="000000"/>
          <w:kern w:val="0"/>
          <w:sz w:val="24"/>
          <w:szCs w:val="24"/>
          <w:highlight w:val="none"/>
          <w:lang w:val="en-US" w:eastAsia="zh-CN" w:bidi="ar"/>
        </w:rPr>
        <w:t>、</w:t>
      </w:r>
      <w:r>
        <w:rPr>
          <w:rFonts w:hint="eastAsia" w:asciiTheme="minorEastAsia" w:hAnsiTheme="minorEastAsia" w:eastAsiaTheme="minorEastAsia" w:cstheme="minorEastAsia"/>
          <w:b w:val="0"/>
          <w:bCs w:val="0"/>
          <w:color w:val="000000"/>
          <w:kern w:val="0"/>
          <w:sz w:val="24"/>
          <w:szCs w:val="24"/>
          <w:highlight w:val="none"/>
          <w:lang w:val="en-US" w:eastAsia="zh-CN" w:bidi="ar"/>
        </w:rPr>
        <w:t>“围绕探索中俄区域经济合作新路径、不断创新对俄经贸合作机制，助力打造向北开放新高地”</w:t>
      </w:r>
      <w:r>
        <w:rPr>
          <w:rFonts w:hint="eastAsia" w:asciiTheme="minorEastAsia" w:hAnsiTheme="minorEastAsia" w:cstheme="minorEastAsia"/>
          <w:b w:val="0"/>
          <w:bCs w:val="0"/>
          <w:color w:val="000000"/>
          <w:kern w:val="0"/>
          <w:sz w:val="24"/>
          <w:szCs w:val="24"/>
          <w:highlight w:val="none"/>
          <w:lang w:val="en-US" w:eastAsia="zh-CN" w:bidi="ar"/>
        </w:rPr>
        <w:t>、</w:t>
      </w:r>
      <w:r>
        <w:rPr>
          <w:rFonts w:hint="eastAsia" w:asciiTheme="minorEastAsia" w:hAnsiTheme="minorEastAsia" w:eastAsiaTheme="minorEastAsia" w:cstheme="minorEastAsia"/>
          <w:b w:val="0"/>
          <w:bCs w:val="0"/>
          <w:color w:val="000000"/>
          <w:kern w:val="0"/>
          <w:sz w:val="24"/>
          <w:szCs w:val="24"/>
          <w:highlight w:val="none"/>
          <w:lang w:val="en-US" w:eastAsia="zh-CN" w:bidi="ar"/>
        </w:rPr>
        <w:t>中俄贸易和远东与中国合作将成为中俄合作的新热点</w:t>
      </w:r>
      <w:r>
        <w:rPr>
          <w:rFonts w:hint="eastAsia" w:asciiTheme="minorEastAsia" w:hAnsiTheme="minorEastAsia" w:cstheme="minorEastAsia"/>
          <w:b w:val="0"/>
          <w:bCs w:val="0"/>
          <w:color w:val="000000"/>
          <w:kern w:val="0"/>
          <w:sz w:val="24"/>
          <w:szCs w:val="24"/>
          <w:highlight w:val="none"/>
          <w:lang w:val="en-US" w:eastAsia="zh-CN" w:bidi="ar"/>
        </w:rPr>
        <w:t>、</w:t>
      </w:r>
      <w:r>
        <w:rPr>
          <w:rFonts w:hint="eastAsia" w:asciiTheme="minorEastAsia" w:hAnsiTheme="minorEastAsia" w:eastAsiaTheme="minorEastAsia" w:cstheme="minorEastAsia"/>
          <w:b w:val="0"/>
          <w:bCs w:val="0"/>
          <w:color w:val="000000"/>
          <w:kern w:val="0"/>
          <w:sz w:val="24"/>
          <w:szCs w:val="24"/>
          <w:highlight w:val="none"/>
          <w:lang w:val="en-US" w:eastAsia="zh-CN" w:bidi="ar"/>
        </w:rPr>
        <w:t>东北经济和东北振兴</w:t>
      </w:r>
      <w:r>
        <w:rPr>
          <w:rFonts w:hint="eastAsia" w:asciiTheme="minorEastAsia" w:hAnsiTheme="minorEastAsia" w:cstheme="minorEastAsia"/>
          <w:b w:val="0"/>
          <w:bCs w:val="0"/>
          <w:color w:val="000000"/>
          <w:kern w:val="0"/>
          <w:sz w:val="24"/>
          <w:szCs w:val="24"/>
          <w:highlight w:val="none"/>
          <w:lang w:val="en-US" w:eastAsia="zh-CN" w:bidi="ar"/>
        </w:rPr>
        <w:t>、</w:t>
      </w:r>
      <w:r>
        <w:rPr>
          <w:rFonts w:hint="eastAsia" w:asciiTheme="minorEastAsia" w:hAnsiTheme="minorEastAsia" w:eastAsiaTheme="minorEastAsia" w:cstheme="minorEastAsia"/>
          <w:b w:val="0"/>
          <w:bCs w:val="0"/>
          <w:color w:val="000000"/>
          <w:kern w:val="0"/>
          <w:sz w:val="24"/>
          <w:szCs w:val="24"/>
          <w:highlight w:val="none"/>
          <w:lang w:val="en-US" w:eastAsia="zh-CN" w:bidi="ar"/>
        </w:rPr>
        <w:t>哈尔滨打造成“向北开放之都”，使其成为“买全国卖全俄 买全俄卖全国”对俄贸易中心城市</w:t>
      </w:r>
      <w:r>
        <w:rPr>
          <w:rFonts w:hint="eastAsia" w:asciiTheme="minorEastAsia" w:hAnsiTheme="minorEastAsia" w:cstheme="minorEastAsia"/>
          <w:b w:val="0"/>
          <w:bCs w:val="0"/>
          <w:color w:val="000000"/>
          <w:kern w:val="0"/>
          <w:sz w:val="24"/>
          <w:szCs w:val="24"/>
          <w:highlight w:val="none"/>
          <w:lang w:val="en-US" w:eastAsia="zh-CN" w:bidi="ar"/>
        </w:rPr>
        <w:t>、</w:t>
      </w:r>
      <w:r>
        <w:rPr>
          <w:rFonts w:hint="eastAsia" w:asciiTheme="minorEastAsia" w:hAnsiTheme="minorEastAsia" w:eastAsiaTheme="minorEastAsia" w:cstheme="minorEastAsia"/>
          <w:b w:val="0"/>
          <w:bCs w:val="0"/>
          <w:color w:val="000000"/>
          <w:kern w:val="0"/>
          <w:sz w:val="24"/>
          <w:szCs w:val="24"/>
          <w:highlight w:val="none"/>
          <w:lang w:val="en-US" w:eastAsia="zh-CN" w:bidi="ar"/>
        </w:rPr>
        <w:t>东方论坛召开对中俄合作的影响</w:t>
      </w:r>
      <w:r>
        <w:rPr>
          <w:rFonts w:hint="eastAsia" w:asciiTheme="minorEastAsia" w:hAnsiTheme="minorEastAsia" w:cstheme="minorEastAsia"/>
          <w:b w:val="0"/>
          <w:bCs w:val="0"/>
          <w:color w:val="000000"/>
          <w:kern w:val="0"/>
          <w:sz w:val="24"/>
          <w:szCs w:val="24"/>
          <w:highlight w:val="none"/>
          <w:lang w:val="en-US" w:eastAsia="zh-CN" w:bidi="ar"/>
        </w:rPr>
        <w:t>，就</w:t>
      </w:r>
      <w:r>
        <w:rPr>
          <w:rFonts w:hint="eastAsia" w:asciiTheme="minorEastAsia" w:hAnsiTheme="minorEastAsia" w:eastAsiaTheme="minorEastAsia" w:cstheme="minorEastAsia"/>
          <w:b w:val="0"/>
          <w:bCs w:val="0"/>
          <w:color w:val="000000"/>
          <w:kern w:val="0"/>
          <w:sz w:val="24"/>
          <w:szCs w:val="24"/>
          <w:highlight w:val="none"/>
          <w:lang w:val="en-US" w:eastAsia="zh-CN" w:bidi="ar"/>
        </w:rPr>
        <w:t>习近平到东北考察并作重要指示、对东北经济和东北振兴，东北对俄合作</w:t>
      </w:r>
      <w:r>
        <w:rPr>
          <w:rFonts w:hint="eastAsia" w:asciiTheme="minorEastAsia" w:hAnsiTheme="minorEastAsia" w:cstheme="minorEastAsia"/>
          <w:b w:val="0"/>
          <w:bCs w:val="0"/>
          <w:color w:val="000000"/>
          <w:kern w:val="0"/>
          <w:sz w:val="24"/>
          <w:szCs w:val="24"/>
          <w:highlight w:val="none"/>
          <w:lang w:val="en-US" w:eastAsia="zh-CN" w:bidi="ar"/>
        </w:rPr>
        <w:t>、</w:t>
      </w:r>
      <w:r>
        <w:rPr>
          <w:rFonts w:hint="eastAsia" w:asciiTheme="minorEastAsia" w:hAnsiTheme="minorEastAsia" w:eastAsiaTheme="minorEastAsia" w:cstheme="minorEastAsia"/>
          <w:b w:val="0"/>
          <w:bCs w:val="0"/>
          <w:color w:val="000000"/>
          <w:kern w:val="0"/>
          <w:sz w:val="24"/>
          <w:szCs w:val="24"/>
          <w:highlight w:val="none"/>
          <w:lang w:val="en-US" w:eastAsia="zh-CN" w:bidi="ar"/>
        </w:rPr>
        <w:t>哈尔滨现有的自贸区、开发区、综保区、临空经济区等体制，建立对俄经济合作特区，把哈尔滨打造成“向北开放之都”，使其成为“买全国卖全俄 买全俄卖全国”</w:t>
      </w:r>
      <w:r>
        <w:rPr>
          <w:rFonts w:hint="eastAsia" w:asciiTheme="minorEastAsia" w:hAnsiTheme="minorEastAsia" w:cstheme="minorEastAsia"/>
          <w:b w:val="0"/>
          <w:bCs w:val="0"/>
          <w:color w:val="000000"/>
          <w:kern w:val="0"/>
          <w:sz w:val="24"/>
          <w:szCs w:val="24"/>
          <w:highlight w:val="none"/>
          <w:lang w:val="en-US" w:eastAsia="zh-CN" w:bidi="ar"/>
        </w:rPr>
        <w:t>接受采访共计30余次</w:t>
      </w:r>
      <w:r>
        <w:rPr>
          <w:rFonts w:hint="eastAsia" w:ascii="宋体" w:hAnsi="宋体" w:cs="宋体"/>
          <w:sz w:val="24"/>
          <w:lang w:val="en-US" w:eastAsia="zh-CN"/>
        </w:rPr>
        <w:t>。</w:t>
      </w:r>
    </w:p>
    <w:p>
      <w:pPr>
        <w:pStyle w:val="3"/>
        <w:bidi w:val="0"/>
        <w:spacing w:line="240" w:lineRule="auto"/>
        <w:rPr>
          <w:rFonts w:hint="eastAsia"/>
          <w:sz w:val="28"/>
          <w:szCs w:val="28"/>
          <w:lang w:val="en-US" w:eastAsia="zh-CN"/>
        </w:rPr>
      </w:pPr>
      <w:bookmarkStart w:id="5" w:name="_Toc1813"/>
      <w:r>
        <w:rPr>
          <w:rFonts w:hint="eastAsia"/>
          <w:sz w:val="28"/>
          <w:szCs w:val="28"/>
          <w:lang w:val="en-US" w:eastAsia="zh-CN"/>
        </w:rPr>
        <w:t>四、通过政策宣讲、培训不断提升智库的社会影响力</w:t>
      </w:r>
    </w:p>
    <w:p>
      <w:pPr>
        <w:pStyle w:val="4"/>
        <w:bidi w:val="0"/>
        <w:rPr>
          <w:rFonts w:hint="eastAsia"/>
          <w:sz w:val="24"/>
          <w:szCs w:val="24"/>
          <w:lang w:val="en-US" w:eastAsia="zh-CN"/>
        </w:rPr>
      </w:pPr>
      <w:r>
        <w:rPr>
          <w:rFonts w:hint="eastAsia"/>
          <w:sz w:val="24"/>
          <w:szCs w:val="24"/>
          <w:lang w:val="en-US" w:eastAsia="zh-CN"/>
        </w:rPr>
        <w:t>1.在党和国家重要会议精神宣讲中积极作为。</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lang w:val="en-US" w:eastAsia="zh-CN"/>
        </w:rPr>
      </w:pPr>
      <w:r>
        <w:rPr>
          <w:rFonts w:hint="eastAsia" w:ascii="宋体" w:hAnsi="宋体" w:eastAsia="宋体" w:cs="宋体"/>
          <w:b w:val="0"/>
          <w:bCs w:val="0"/>
          <w:sz w:val="24"/>
          <w:lang w:val="en-US" w:eastAsia="zh-CN"/>
        </w:rPr>
        <w:t>年度</w:t>
      </w:r>
      <w:r>
        <w:rPr>
          <w:rFonts w:hint="eastAsia" w:ascii="宋体" w:hAnsi="宋体" w:eastAsia="宋体" w:cs="宋体"/>
          <w:sz w:val="24"/>
          <w:lang w:val="en-US" w:eastAsia="zh-CN"/>
        </w:rPr>
        <w:t>智库首席专家和骨干成员多次被聘为省委宣讲团成员，先后到地市、省直单位和基层宣讲党二十大、十三次党代会、习总书记在黑龙江省重要讲话精神及重要省委全会精神的宣讲。</w:t>
      </w:r>
    </w:p>
    <w:p>
      <w:pPr>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kern w:val="2"/>
          <w:sz w:val="24"/>
          <w:szCs w:val="24"/>
          <w:lang w:val="en-US" w:eastAsia="zh-CN" w:bidi="ar-SA"/>
        </w:rPr>
        <w:t>（1）</w:t>
      </w:r>
      <w:r>
        <w:rPr>
          <w:rFonts w:hint="eastAsia" w:asciiTheme="minorEastAsia" w:hAnsiTheme="minorEastAsia" w:eastAsiaTheme="minorEastAsia" w:cstheme="minorEastAsia"/>
          <w:sz w:val="24"/>
          <w:szCs w:val="24"/>
          <w:highlight w:val="none"/>
          <w:lang w:val="en-US" w:eastAsia="zh-CN"/>
        </w:rPr>
        <w:t>按照省委统一安排，学习《贯彻习近平总书记视察黑龙江重要讲话重要指示精神》宣讲报告会在市党政会议中心举行。</w:t>
      </w:r>
      <w:r>
        <w:rPr>
          <w:rFonts w:hint="eastAsia" w:asciiTheme="minorEastAsia" w:hAnsiTheme="minorEastAsia" w:cstheme="minorEastAsia"/>
          <w:sz w:val="24"/>
          <w:szCs w:val="24"/>
          <w:highlight w:val="none"/>
          <w:lang w:val="en-US" w:eastAsia="zh-CN"/>
        </w:rPr>
        <w:t>智库专家</w:t>
      </w:r>
      <w:r>
        <w:rPr>
          <w:rFonts w:hint="eastAsia" w:asciiTheme="minorEastAsia" w:hAnsiTheme="minorEastAsia" w:eastAsiaTheme="minorEastAsia" w:cstheme="minorEastAsia"/>
          <w:sz w:val="24"/>
          <w:szCs w:val="24"/>
          <w:highlight w:val="none"/>
          <w:lang w:val="en-US" w:eastAsia="zh-CN"/>
        </w:rPr>
        <w:t>刘畅</w:t>
      </w:r>
      <w:r>
        <w:rPr>
          <w:rFonts w:hint="eastAsia" w:asciiTheme="minorEastAsia" w:hAnsiTheme="minorEastAsia" w:cstheme="minorEastAsia"/>
          <w:sz w:val="24"/>
          <w:szCs w:val="24"/>
          <w:highlight w:val="none"/>
          <w:lang w:val="en-US" w:eastAsia="zh-CN"/>
        </w:rPr>
        <w:t>教授作</w:t>
      </w:r>
      <w:r>
        <w:rPr>
          <w:rFonts w:hint="eastAsia" w:asciiTheme="minorEastAsia" w:hAnsiTheme="minorEastAsia" w:eastAsiaTheme="minorEastAsia" w:cstheme="minorEastAsia"/>
          <w:sz w:val="24"/>
          <w:szCs w:val="24"/>
          <w:highlight w:val="none"/>
          <w:lang w:val="en-US" w:eastAsia="zh-CN"/>
        </w:rPr>
        <w:t>宣讲报告。报告会后，刘畅还深入桃山区桃北街道花园社区与社区干部群众互动交流。</w:t>
      </w:r>
    </w:p>
    <w:p>
      <w:pPr>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cstheme="minorEastAsia"/>
          <w:sz w:val="24"/>
          <w:szCs w:val="24"/>
          <w:highlight w:val="none"/>
          <w:lang w:val="en-US" w:eastAsia="zh-CN"/>
        </w:rPr>
        <w:t>中储粮</w:t>
      </w:r>
      <w:r>
        <w:rPr>
          <w:rFonts w:hint="eastAsia" w:asciiTheme="minorEastAsia" w:hAnsiTheme="minorEastAsia" w:eastAsiaTheme="minorEastAsia" w:cstheme="minorEastAsia"/>
          <w:sz w:val="24"/>
          <w:szCs w:val="24"/>
          <w:highlight w:val="none"/>
          <w:lang w:val="en-US" w:eastAsia="zh-CN"/>
        </w:rPr>
        <w:t>黑龙江分公司邀请省委学习宣传贯彻党的二十大精神宣讲团成员、</w:t>
      </w:r>
      <w:r>
        <w:rPr>
          <w:rFonts w:hint="eastAsia" w:asciiTheme="minorEastAsia" w:hAnsiTheme="minorEastAsia" w:cstheme="minorEastAsia"/>
          <w:sz w:val="24"/>
          <w:szCs w:val="24"/>
          <w:highlight w:val="none"/>
          <w:lang w:val="en-US" w:eastAsia="zh-CN"/>
        </w:rPr>
        <w:t>智库专家</w:t>
      </w:r>
      <w:r>
        <w:rPr>
          <w:rFonts w:hint="eastAsia" w:asciiTheme="minorEastAsia" w:hAnsiTheme="minorEastAsia" w:eastAsiaTheme="minorEastAsia" w:cstheme="minorEastAsia"/>
          <w:sz w:val="24"/>
          <w:szCs w:val="24"/>
          <w:highlight w:val="none"/>
          <w:lang w:val="en-US" w:eastAsia="zh-CN"/>
        </w:rPr>
        <w:t>刘畅教授为辖区全体党员干部作主题教育专题辅导。</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（3）刘畅教授</w:t>
      </w:r>
      <w:r>
        <w:rPr>
          <w:rFonts w:hint="eastAsia" w:asciiTheme="minorEastAsia" w:hAnsiTheme="minorEastAsia" w:cstheme="minorEastAsia"/>
          <w:sz w:val="24"/>
          <w:szCs w:val="24"/>
          <w:highlight w:val="none"/>
          <w:lang w:val="en-US" w:eastAsia="zh-CN"/>
        </w:rPr>
        <w:t>受</w:t>
      </w:r>
      <w:r>
        <w:rPr>
          <w:rFonts w:hint="eastAsia" w:asciiTheme="minorEastAsia" w:hAnsiTheme="minorEastAsia" w:eastAsiaTheme="minorEastAsia" w:cstheme="minorEastAsia"/>
          <w:sz w:val="24"/>
          <w:szCs w:val="24"/>
          <w:highlight w:val="none"/>
          <w:lang w:val="en-US" w:eastAsia="zh-CN"/>
        </w:rPr>
        <w:t>市委组织部联合市委党校、融媒体中心</w:t>
      </w:r>
      <w:r>
        <w:rPr>
          <w:rFonts w:hint="eastAsia" w:asciiTheme="minorEastAsia" w:hAnsiTheme="minorEastAsia" w:cstheme="minorEastAsia"/>
          <w:sz w:val="24"/>
          <w:szCs w:val="24"/>
          <w:highlight w:val="none"/>
          <w:lang w:val="en-US" w:eastAsia="zh-CN"/>
        </w:rPr>
        <w:t>委托</w:t>
      </w:r>
      <w:r>
        <w:rPr>
          <w:rFonts w:hint="eastAsia" w:asciiTheme="minorEastAsia" w:hAnsiTheme="minorEastAsia" w:eastAsiaTheme="minorEastAsia" w:cstheme="minorEastAsia"/>
          <w:sz w:val="24"/>
          <w:szCs w:val="24"/>
          <w:highlight w:val="none"/>
          <w:lang w:val="en-US" w:eastAsia="zh-CN"/>
        </w:rPr>
        <w:t>，在北部湾商务中心会堂举办“业务大讲堂”推动县域经济高质量发展专题讲座。</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鹤岗市举办“鹤岗半月坛”第12期培训，并邀请东北农业大学经济管理学院副院长、博士生导师刘畅教授以推进农业农村现代化，加快建设农业强国为题，围绕社会主义现代化强国的根基，建设农业强国的基础，加快农业农村现代化建设，推动鹤岗。发展取得新突破、鹤岗市农业现代化建设、发展预期等方面为大家</w:t>
      </w:r>
      <w:r>
        <w:rPr>
          <w:rFonts w:hint="eastAsia" w:asciiTheme="minorEastAsia" w:hAnsiTheme="minorEastAsia" w:cstheme="minorEastAsia"/>
          <w:sz w:val="24"/>
          <w:szCs w:val="24"/>
          <w:highlight w:val="none"/>
          <w:lang w:val="en-US" w:eastAsia="zh-CN"/>
        </w:rPr>
        <w:t>作</w:t>
      </w:r>
      <w:r>
        <w:rPr>
          <w:rFonts w:hint="eastAsia" w:asciiTheme="minorEastAsia" w:hAnsiTheme="minorEastAsia" w:eastAsiaTheme="minorEastAsia" w:cstheme="minorEastAsia"/>
          <w:sz w:val="24"/>
          <w:szCs w:val="24"/>
          <w:highlight w:val="none"/>
          <w:lang w:val="en-US" w:eastAsia="zh-CN"/>
        </w:rPr>
        <w:t>了系统讲解。</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（5）农投集团邀请东北农业大学管理学博士</w:t>
      </w:r>
      <w:r>
        <w:rPr>
          <w:rFonts w:hint="eastAsia" w:asciiTheme="minorEastAsia" w:hAnsiTheme="minorEastAsia" w:cstheme="minorEastAsia"/>
          <w:sz w:val="24"/>
          <w:szCs w:val="24"/>
          <w:highlight w:val="none"/>
          <w:lang w:val="en-US" w:eastAsia="zh-CN"/>
        </w:rPr>
        <w:t>省委讲师团成员智库专家</w:t>
      </w:r>
      <w:r>
        <w:rPr>
          <w:rFonts w:hint="eastAsia" w:asciiTheme="minorEastAsia" w:hAnsiTheme="minorEastAsia" w:eastAsiaTheme="minorEastAsia" w:cstheme="minorEastAsia"/>
          <w:sz w:val="24"/>
          <w:szCs w:val="24"/>
          <w:highlight w:val="none"/>
          <w:lang w:val="en-US" w:eastAsia="zh-CN"/>
        </w:rPr>
        <w:t>刘畅以《深入学习贯彻习近平新时代中国特色社会主义思想，加快建设农业强国》为题，作专题辅导。</w:t>
      </w:r>
    </w:p>
    <w:p>
      <w:pPr>
        <w:pStyle w:val="2"/>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kern w:val="2"/>
          <w:sz w:val="24"/>
          <w:szCs w:val="24"/>
          <w:lang w:val="en-US" w:eastAsia="zh-CN" w:bidi="ar-SA"/>
        </w:rPr>
        <w:t>（6）</w:t>
      </w:r>
      <w:r>
        <w:rPr>
          <w:rFonts w:hint="eastAsia" w:asciiTheme="minorEastAsia" w:hAnsiTheme="minorEastAsia" w:eastAsiaTheme="minorEastAsia" w:cstheme="minorEastAsia"/>
          <w:sz w:val="24"/>
          <w:szCs w:val="24"/>
          <w:highlight w:val="none"/>
          <w:lang w:val="en-US" w:eastAsia="zh-CN"/>
        </w:rPr>
        <w:t>宋魁教授在黑河市委党校讲课：《对俄合作的新商机及其对策》</w:t>
      </w:r>
    </w:p>
    <w:p>
      <w:pPr>
        <w:pStyle w:val="4"/>
        <w:numPr>
          <w:ilvl w:val="0"/>
          <w:numId w:val="0"/>
        </w:numPr>
        <w:bidi w:val="0"/>
        <w:rPr>
          <w:rFonts w:hint="default" w:ascii="宋体" w:hAnsi="宋体" w:eastAsia="宋体" w:cs="宋体"/>
          <w:b/>
          <w:bCs w:val="0"/>
          <w:sz w:val="24"/>
          <w:szCs w:val="24"/>
          <w:highlight w:val="none"/>
          <w:lang w:val="en-US" w:eastAsia="zh-CN"/>
        </w:rPr>
      </w:pPr>
      <w:bookmarkStart w:id="6" w:name="_Toc7144"/>
      <w:r>
        <w:rPr>
          <w:rFonts w:hint="eastAsia" w:ascii="宋体" w:hAnsi="宋体" w:eastAsia="宋体" w:cs="宋体"/>
          <w:b/>
          <w:bCs w:val="0"/>
          <w:sz w:val="28"/>
          <w:szCs w:val="28"/>
          <w:highlight w:val="none"/>
          <w:lang w:val="en-US" w:eastAsia="zh-CN"/>
        </w:rPr>
        <w:t>2.</w:t>
      </w:r>
      <w:bookmarkEnd w:id="6"/>
      <w:r>
        <w:rPr>
          <w:rFonts w:hint="eastAsia" w:ascii="宋体" w:hAnsi="宋体" w:eastAsia="宋体" w:cs="宋体"/>
          <w:b/>
          <w:bCs w:val="0"/>
          <w:sz w:val="24"/>
          <w:szCs w:val="24"/>
          <w:highlight w:val="none"/>
          <w:lang w:val="en-US" w:eastAsia="zh-CN"/>
        </w:rPr>
        <w:t>深入各地市进行学术交流培训，在服务龙江地市共完成18人次培训</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北安市政府与黑龙江当代中俄区域经济研究院开展交流座谈，智库首席专家宋魁表示中俄研究院将进一步发挥好“参谋”和“外脑”以及“桥梁”和“纽带”作用，立足北安实际，围绕地缘、资源优势和省北部区域中心城市发展定位，深入开展调查研究，拿出更多更好的智力成果，当好北安的“推介人”和“代言人”，为市域经济社会高质量发展积极贡献力量。</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中俄区域经济研究院投资顾问团到嫩江市参加《黑河市打造向北开放第一市》嫩江市调研座谈会</w:t>
      </w:r>
      <w:r>
        <w:rPr>
          <w:rFonts w:hint="eastAsia" w:asciiTheme="minorEastAsia" w:hAnsi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lang w:val="en-US" w:eastAsia="zh-CN"/>
        </w:rPr>
        <w:t>雀巢奶牛养殖培训中心培训课程“看得懂的财务报表”培训项目，发言题目是《牧场高级管理人才培训》</w:t>
      </w:r>
      <w:r>
        <w:rPr>
          <w:rFonts w:hint="eastAsia" w:asciiTheme="minorEastAsia" w:hAnsiTheme="minorEastAsia" w:cstheme="minorEastAsia"/>
          <w:sz w:val="24"/>
          <w:szCs w:val="24"/>
          <w:highlight w:val="none"/>
          <w:lang w:val="en-US" w:eastAsia="zh-CN"/>
        </w:rPr>
        <w:t>、为</w:t>
      </w:r>
      <w:r>
        <w:rPr>
          <w:rFonts w:hint="eastAsia" w:asciiTheme="minorEastAsia" w:hAnsiTheme="minorEastAsia" w:eastAsiaTheme="minorEastAsia" w:cstheme="minorEastAsia"/>
          <w:sz w:val="24"/>
          <w:szCs w:val="24"/>
          <w:highlight w:val="none"/>
          <w:lang w:val="en-US" w:eastAsia="zh-CN"/>
        </w:rPr>
        <w:t>黑龙江省农业农村局以《农民专业合作社财务制度》为题的主办讲座，培训题目是《新型职业农民培训1》</w:t>
      </w:r>
      <w:r>
        <w:rPr>
          <w:rFonts w:hint="eastAsia" w:asciiTheme="minorEastAsia" w:hAnsiTheme="minorEastAsia" w:cstheme="minorEastAsia"/>
          <w:sz w:val="24"/>
          <w:szCs w:val="24"/>
          <w:highlight w:val="none"/>
          <w:lang w:val="en-US" w:eastAsia="zh-CN"/>
        </w:rPr>
        <w:t>、为</w:t>
      </w:r>
      <w:r>
        <w:rPr>
          <w:rFonts w:hint="eastAsia" w:asciiTheme="minorEastAsia" w:hAnsiTheme="minorEastAsia" w:eastAsiaTheme="minorEastAsia" w:cstheme="minorEastAsia"/>
          <w:sz w:val="24"/>
          <w:szCs w:val="24"/>
          <w:highlight w:val="none"/>
          <w:lang w:val="en-US" w:eastAsia="zh-CN"/>
        </w:rPr>
        <w:t>黑龙江省农业农村局“乡村产业振兴带头人培育</w:t>
      </w:r>
      <w:r>
        <w:rPr>
          <w:rFonts w:hint="eastAsia" w:asciiTheme="minorEastAsia" w:hAnsi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lang w:val="en-US" w:eastAsia="zh-CN"/>
        </w:rPr>
        <w:t>头雁项目”培训项目，培训题目是《农民专业合作社财务制度》</w:t>
      </w:r>
      <w:r>
        <w:rPr>
          <w:rFonts w:hint="eastAsia" w:asciiTheme="minorEastAsia" w:hAnsiTheme="minorEastAsia" w:cstheme="minorEastAsia"/>
          <w:sz w:val="24"/>
          <w:szCs w:val="24"/>
          <w:highlight w:val="none"/>
          <w:lang w:val="en-US" w:eastAsia="zh-CN"/>
        </w:rPr>
        <w:t>，为</w:t>
      </w:r>
      <w:r>
        <w:rPr>
          <w:rFonts w:hint="eastAsia" w:asciiTheme="minorEastAsia" w:hAnsiTheme="minorEastAsia" w:eastAsiaTheme="minorEastAsia" w:cstheme="minorEastAsia"/>
          <w:sz w:val="24"/>
          <w:szCs w:val="24"/>
          <w:highlight w:val="none"/>
          <w:lang w:val="en-US" w:eastAsia="zh-CN"/>
        </w:rPr>
        <w:t>庆安县农业技术推广中心“合作社财务管理制度”培训项目，培训题目是《新型农业经营主体培训》</w:t>
      </w:r>
      <w:r>
        <w:rPr>
          <w:rFonts w:hint="eastAsia" w:asciiTheme="minorEastAsia" w:hAnsiTheme="minorEastAsia" w:cstheme="minorEastAsia"/>
          <w:sz w:val="24"/>
          <w:szCs w:val="24"/>
          <w:highlight w:val="none"/>
          <w:lang w:val="en-US" w:eastAsia="zh-CN"/>
        </w:rPr>
        <w:t>、为</w:t>
      </w:r>
      <w:r>
        <w:rPr>
          <w:rFonts w:hint="eastAsia" w:asciiTheme="minorEastAsia" w:hAnsiTheme="minorEastAsia" w:eastAsiaTheme="minorEastAsia" w:cstheme="minorEastAsia"/>
          <w:sz w:val="24"/>
          <w:szCs w:val="24"/>
          <w:highlight w:val="none"/>
          <w:lang w:val="en-US" w:eastAsia="zh-CN"/>
        </w:rPr>
        <w:t>林口县直部门“民营企业财务管理专题”培训项目，培训题目是《民营企业家能力提升》。</w:t>
      </w:r>
    </w:p>
    <w:p>
      <w:pPr>
        <w:rPr>
          <w:rFonts w:hint="eastAsia"/>
          <w:lang w:val="en-US" w:eastAsia="zh-CN"/>
        </w:rPr>
      </w:pPr>
    </w:p>
    <w:p>
      <w:pPr>
        <w:pStyle w:val="4"/>
        <w:numPr>
          <w:ilvl w:val="0"/>
          <w:numId w:val="0"/>
        </w:numPr>
        <w:bidi w:val="0"/>
        <w:rPr>
          <w:rFonts w:hint="eastAsia"/>
          <w:sz w:val="24"/>
          <w:szCs w:val="24"/>
          <w:lang w:val="en-US" w:eastAsia="zh-CN"/>
        </w:rPr>
      </w:pPr>
      <w:r>
        <w:rPr>
          <w:rFonts w:hint="eastAsia"/>
          <w:sz w:val="24"/>
          <w:szCs w:val="24"/>
          <w:lang w:val="en-US" w:eastAsia="zh-CN"/>
        </w:rPr>
        <w:t>3.是在服务各类主体发展壮大中积极作为</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智库成员广泛参与行业、地方、企业发展战略制定、规划编制、咨询论证等工作，完成庆安、肇源、香坊区等产业规划项目。</w:t>
      </w:r>
    </w:p>
    <w:bookmarkEnd w:id="5"/>
    <w:p>
      <w:pPr>
        <w:pStyle w:val="3"/>
        <w:bidi w:val="0"/>
        <w:spacing w:line="240" w:lineRule="auto"/>
        <w:rPr>
          <w:rFonts w:hint="eastAsia"/>
          <w:sz w:val="28"/>
          <w:szCs w:val="28"/>
          <w:lang w:val="en-US" w:eastAsia="zh-CN"/>
        </w:rPr>
      </w:pPr>
      <w:bookmarkStart w:id="7" w:name="_Toc8331"/>
      <w:r>
        <w:rPr>
          <w:rFonts w:hint="eastAsia"/>
          <w:sz w:val="28"/>
          <w:szCs w:val="28"/>
          <w:lang w:val="en-US" w:eastAsia="zh-CN"/>
        </w:rPr>
        <w:t>五、基础建设和内部治理及工作计划</w:t>
      </w:r>
      <w:bookmarkEnd w:id="7"/>
    </w:p>
    <w:p>
      <w:pPr>
        <w:pStyle w:val="4"/>
        <w:numPr>
          <w:ilvl w:val="0"/>
          <w:numId w:val="0"/>
        </w:numPr>
        <w:bidi w:val="0"/>
        <w:outlineLvl w:val="1"/>
        <w:rPr>
          <w:rFonts w:hint="eastAsia" w:asciiTheme="minorEastAsia" w:hAnsiTheme="minorEastAsia" w:eastAsiaTheme="minorEastAsia" w:cstheme="minorEastAsia"/>
          <w:b/>
          <w:bCs/>
          <w:kern w:val="2"/>
          <w:sz w:val="24"/>
          <w:szCs w:val="24"/>
          <w:highlight w:val="none"/>
          <w:lang w:val="en-US" w:eastAsia="zh-CN" w:bidi="ar-SA"/>
        </w:rPr>
      </w:pPr>
      <w:bookmarkStart w:id="8" w:name="_Toc20671"/>
      <w:r>
        <w:rPr>
          <w:rFonts w:hint="eastAsia" w:asciiTheme="minorEastAsia" w:hAnsiTheme="minorEastAsia" w:eastAsiaTheme="minorEastAsia" w:cstheme="minorEastAsia"/>
          <w:b/>
          <w:bCs/>
          <w:kern w:val="2"/>
          <w:sz w:val="24"/>
          <w:szCs w:val="24"/>
          <w:highlight w:val="none"/>
          <w:lang w:val="en-US" w:eastAsia="zh-CN" w:bidi="ar-SA"/>
        </w:rPr>
        <w:t>1.研究团队</w:t>
      </w:r>
      <w:bookmarkEnd w:id="8"/>
    </w:p>
    <w:p>
      <w:pPr>
        <w:adjustRightInd w:val="0"/>
        <w:snapToGrid w:val="0"/>
        <w:spacing w:before="156" w:beforeLines="50" w:after="156" w:afterLines="50" w:line="360" w:lineRule="auto"/>
        <w:ind w:firstLine="480" w:firstLineChars="200"/>
        <w:jc w:val="left"/>
        <w:rPr>
          <w:rFonts w:hint="eastAsia" w:asciiTheme="minorEastAsia" w:hAnsi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中俄区域</w:t>
      </w:r>
      <w:r>
        <w:rPr>
          <w:rFonts w:hint="eastAsia" w:asciiTheme="minorEastAsia" w:hAnsiTheme="minorEastAsia" w:eastAsiaTheme="minorEastAsia" w:cstheme="minorEastAsia"/>
          <w:sz w:val="24"/>
          <w:szCs w:val="24"/>
          <w:highlight w:val="none"/>
          <w:lang w:val="en-US" w:eastAsia="zh-CN"/>
        </w:rPr>
        <w:t>经济</w:t>
      </w:r>
      <w:r>
        <w:rPr>
          <w:rFonts w:hint="eastAsia" w:asciiTheme="minorEastAsia" w:hAnsiTheme="minorEastAsia" w:eastAsiaTheme="minorEastAsia" w:cstheme="minorEastAsia"/>
          <w:sz w:val="24"/>
          <w:szCs w:val="24"/>
          <w:highlight w:val="none"/>
        </w:rPr>
        <w:t>研究智库</w:t>
      </w:r>
      <w:r>
        <w:rPr>
          <w:rFonts w:hint="eastAsia" w:asciiTheme="minorEastAsia" w:hAnsiTheme="minorEastAsia" w:eastAsiaTheme="minorEastAsia" w:cstheme="minorEastAsia"/>
          <w:sz w:val="24"/>
          <w:szCs w:val="24"/>
          <w:highlight w:val="none"/>
          <w:lang w:val="en-US" w:eastAsia="zh-CN"/>
        </w:rPr>
        <w:t>固定工作人员6名，其中</w:t>
      </w:r>
      <w:r>
        <w:rPr>
          <w:rFonts w:hint="eastAsia" w:asciiTheme="minorEastAsia" w:hAnsiTheme="minorEastAsia" w:eastAsiaTheme="minorEastAsia" w:cstheme="minorEastAsia"/>
          <w:sz w:val="24"/>
          <w:szCs w:val="24"/>
          <w:highlight w:val="none"/>
        </w:rPr>
        <w:t>首席专家</w:t>
      </w:r>
      <w:r>
        <w:rPr>
          <w:rFonts w:hint="eastAsia" w:asciiTheme="minorEastAsia" w:hAnsiTheme="minorEastAsia" w:eastAsiaTheme="minorEastAsia" w:cstheme="minorEastAsia"/>
          <w:sz w:val="24"/>
          <w:szCs w:val="24"/>
          <w:highlight w:val="none"/>
          <w:lang w:eastAsia="zh-CN"/>
        </w:rPr>
        <w:t>一</w:t>
      </w:r>
      <w:r>
        <w:rPr>
          <w:rFonts w:hint="eastAsia" w:asciiTheme="minorEastAsia" w:hAnsiTheme="minorEastAsia" w:eastAsiaTheme="minorEastAsia" w:cstheme="minorEastAsia"/>
          <w:sz w:val="24"/>
          <w:szCs w:val="24"/>
          <w:highlight w:val="none"/>
        </w:rPr>
        <w:t>名：黑龙江当代中俄区域经济研究院院长宋魁研究员</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已提请增设刘畅、李萍两位首席专家）。</w:t>
      </w:r>
      <w:r>
        <w:rPr>
          <w:rFonts w:hint="eastAsia" w:asciiTheme="minorEastAsia" w:hAnsiTheme="minorEastAsia" w:eastAsiaTheme="minorEastAsia" w:cstheme="minorEastAsia"/>
          <w:sz w:val="24"/>
          <w:szCs w:val="24"/>
          <w:highlight w:val="none"/>
        </w:rPr>
        <w:t>团队成员为首席专家宋魁，</w:t>
      </w:r>
      <w:r>
        <w:rPr>
          <w:rFonts w:hint="eastAsia" w:asciiTheme="minorEastAsia" w:hAnsiTheme="minorEastAsia" w:eastAsiaTheme="minorEastAsia" w:cstheme="minorEastAsia"/>
          <w:sz w:val="24"/>
          <w:szCs w:val="24"/>
          <w:highlight w:val="none"/>
          <w:lang w:eastAsia="zh-CN"/>
        </w:rPr>
        <w:t>常务</w:t>
      </w:r>
      <w:r>
        <w:rPr>
          <w:rFonts w:hint="eastAsia" w:asciiTheme="minorEastAsia" w:hAnsiTheme="minorEastAsia" w:eastAsiaTheme="minorEastAsia" w:cstheme="minorEastAsia"/>
          <w:sz w:val="24"/>
          <w:szCs w:val="24"/>
          <w:highlight w:val="none"/>
        </w:rPr>
        <w:t>副院长李萍</w:t>
      </w:r>
      <w:r>
        <w:rPr>
          <w:rFonts w:hint="eastAsia" w:asciiTheme="minorEastAsia" w:hAnsiTheme="minorEastAsia" w:eastAsiaTheme="minorEastAsia" w:cstheme="minorEastAsia"/>
          <w:sz w:val="24"/>
          <w:szCs w:val="24"/>
          <w:highlight w:val="none"/>
          <w:lang w:eastAsia="zh-CN"/>
        </w:rPr>
        <w:t>、副院长柳奎仁、王昌仁</w:t>
      </w:r>
      <w:r>
        <w:rPr>
          <w:rFonts w:hint="eastAsia" w:asciiTheme="minorEastAsia" w:hAnsiTheme="minorEastAsia" w:eastAsiaTheme="minorEastAsia" w:cstheme="minorEastAsia"/>
          <w:sz w:val="24"/>
          <w:szCs w:val="24"/>
          <w:highlight w:val="none"/>
        </w:rPr>
        <w:t>等，秘书长李希光，副秘书长</w:t>
      </w:r>
      <w:r>
        <w:rPr>
          <w:rFonts w:hint="eastAsia" w:asciiTheme="minorEastAsia" w:hAnsiTheme="minorEastAsia" w:eastAsiaTheme="minorEastAsia" w:cstheme="minorEastAsia"/>
          <w:sz w:val="24"/>
          <w:szCs w:val="24"/>
          <w:highlight w:val="none"/>
          <w:lang w:eastAsia="zh-CN"/>
        </w:rPr>
        <w:t>宗伟、王设、杜保平</w:t>
      </w:r>
      <w:r>
        <w:rPr>
          <w:rFonts w:hint="eastAsia" w:asciiTheme="minorEastAsia" w:hAnsiTheme="minorEastAsia" w:eastAsiaTheme="minorEastAsia" w:cstheme="minorEastAsia"/>
          <w:sz w:val="24"/>
          <w:szCs w:val="24"/>
          <w:highlight w:val="none"/>
        </w:rPr>
        <w:t>，院长助理宋晓松</w:t>
      </w:r>
      <w:r>
        <w:rPr>
          <w:rFonts w:hint="eastAsia" w:asciiTheme="minorEastAsia" w:hAnsiTheme="minorEastAsia" w:eastAsiaTheme="minorEastAsia" w:cstheme="minorEastAsia"/>
          <w:sz w:val="24"/>
          <w:szCs w:val="24"/>
          <w:highlight w:val="none"/>
          <w:lang w:eastAsia="zh-CN"/>
        </w:rPr>
        <w:t>、常慧敏</w:t>
      </w:r>
      <w:r>
        <w:rPr>
          <w:rFonts w:hint="eastAsia" w:asciiTheme="minorEastAsia" w:hAnsiTheme="minorEastAsia" w:eastAsiaTheme="minorEastAsia" w:cstheme="minorEastAsia"/>
          <w:sz w:val="24"/>
          <w:szCs w:val="24"/>
          <w:highlight w:val="none"/>
        </w:rPr>
        <w:t>。支部书记孟繁滨、组织委员宋魁、宣传委员李希光。特聘教授</w:t>
      </w:r>
      <w:r>
        <w:rPr>
          <w:rFonts w:hint="eastAsia" w:asciiTheme="minorEastAsia" w:hAnsiTheme="minorEastAsia" w:eastAsiaTheme="minorEastAsia" w:cstheme="minorEastAsia"/>
          <w:sz w:val="24"/>
          <w:szCs w:val="24"/>
          <w:highlight w:val="none"/>
          <w:lang w:eastAsia="zh-CN"/>
        </w:rPr>
        <w:t>曲伟、李彦春、穆洪波、</w:t>
      </w:r>
      <w:r>
        <w:rPr>
          <w:rFonts w:hint="eastAsia" w:asciiTheme="minorEastAsia" w:hAnsiTheme="minorEastAsia" w:eastAsiaTheme="minorEastAsia" w:cstheme="minorEastAsia"/>
          <w:sz w:val="24"/>
          <w:szCs w:val="24"/>
          <w:highlight w:val="none"/>
        </w:rPr>
        <w:t>张永强、石芳、周博、翟涛、张广</w:t>
      </w:r>
      <w:r>
        <w:rPr>
          <w:rFonts w:hint="eastAsia" w:asciiTheme="minorEastAsia" w:hAnsiTheme="minorEastAsia" w:eastAsiaTheme="minorEastAsia" w:cstheme="minorEastAsia"/>
          <w:sz w:val="24"/>
          <w:szCs w:val="24"/>
          <w:highlight w:val="none"/>
          <w:lang w:eastAsia="zh-CN"/>
        </w:rPr>
        <w:t>衡</w:t>
      </w:r>
      <w:r>
        <w:rPr>
          <w:rFonts w:hint="eastAsia" w:asciiTheme="minorEastAsia" w:hAnsiTheme="minorEastAsia" w:eastAsiaTheme="minorEastAsia" w:cstheme="minorEastAsia"/>
          <w:sz w:val="24"/>
          <w:szCs w:val="24"/>
          <w:highlight w:val="none"/>
        </w:rPr>
        <w:t>、李剑峰、金东珠</w:t>
      </w:r>
      <w:r>
        <w:rPr>
          <w:rFonts w:hint="eastAsia" w:asciiTheme="minorEastAsia" w:hAnsiTheme="minorEastAsia" w:eastAsiaTheme="minorEastAsia" w:cstheme="minorEastAsia"/>
          <w:sz w:val="24"/>
          <w:szCs w:val="24"/>
          <w:highlight w:val="none"/>
          <w:lang w:eastAsia="zh-CN"/>
        </w:rPr>
        <w:t>、王希亮、孙岩、邹秀婷</w:t>
      </w:r>
      <w:r>
        <w:rPr>
          <w:rFonts w:hint="eastAsia" w:asciiTheme="minorEastAsia" w:hAnsiTheme="minorEastAsia" w:eastAsiaTheme="minorEastAsia" w:cstheme="minorEastAsia"/>
          <w:sz w:val="24"/>
          <w:szCs w:val="24"/>
          <w:highlight w:val="none"/>
        </w:rPr>
        <w:t>等。</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cstheme="minorEastAsia"/>
          <w:sz w:val="24"/>
          <w:szCs w:val="24"/>
          <w:highlight w:val="none"/>
          <w:lang w:val="en-US" w:eastAsia="zh-CN"/>
        </w:rPr>
        <w:t xml:space="preserve"> </w:t>
      </w:r>
    </w:p>
    <w:p>
      <w:pPr>
        <w:adjustRightInd w:val="0"/>
        <w:snapToGrid w:val="0"/>
        <w:spacing w:before="156" w:beforeLines="50" w:after="156" w:afterLines="50" w:line="360" w:lineRule="auto"/>
        <w:ind w:firstLine="480" w:firstLineChars="200"/>
        <w:jc w:val="left"/>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中俄区域经济研究智库注重加强制度建设，坚持“高起点，严规范”建设一流的智库团队，严格执行《科研项目管理规定》，重点从科研项目种类、立题程序、课题日常管理、科技成果的申报和鉴定管理、研究档案归档、科研项目经费管理制度、科研工作奖励制度等方面进行规范；严格执行《知识产权与保密规定》，重点从适用范围、文献参考、知识产权归属、技术秘密与商业秘密的保密规定、技术秘密与商业秘密限制竞争性行为、员工违反保密条款处罚等方面进行了规范；严格执行《计划项目与财务管理规定》，重点从财务管理原则、拨款管理、支出管理、收入管理、实物管理、财务报告、财务档案等方面进行规范管理</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这些制度的制定与执行，有效地提高了研究院的管理水平，为研究院各项学术研究工作</w:t>
      </w:r>
      <w:r>
        <w:rPr>
          <w:rFonts w:hint="eastAsia" w:asciiTheme="minorEastAsia" w:hAnsiTheme="minorEastAsia" w:eastAsiaTheme="minorEastAsia" w:cstheme="minorEastAsia"/>
          <w:sz w:val="24"/>
          <w:szCs w:val="24"/>
          <w:highlight w:val="none"/>
          <w:lang w:val="en-US" w:eastAsia="zh-CN"/>
        </w:rPr>
        <w:t>的开展，提供了制度保证。</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中俄区域经济智库，是民间智库，具有机制灵活，开放研究的优势，能够聚集“官、产、学、研、金、媒”各行各业的精英，形成百家争鸣的研究态势，但同样具有规模小，兼职人员多，在项目、课题、论文发表上就失去竞争优势。建议主管部门充分考虑民间智库的实际情况，以扶持为主，为民间智库的发展创造良好的环境。智库也积极加强自身建设、吸引更多的精英专家加入，共同为龙江发展贡献力量。故此智库充分利用现有优势在各地积极开展活动，已成立如下分支机构：</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中俄农业合作研究院（东北农业大学分院）院长：</w:t>
      </w:r>
      <w:r>
        <w:rPr>
          <w:rFonts w:hint="eastAsia" w:asciiTheme="minorEastAsia" w:hAnsiTheme="minorEastAsia" w:eastAsiaTheme="minorEastAsia" w:cstheme="minorEastAsia"/>
          <w:sz w:val="24"/>
          <w:szCs w:val="24"/>
          <w:highlight w:val="none"/>
          <w:lang w:val="en-US" w:eastAsia="zh-CN"/>
        </w:rPr>
        <w:t>刘畅</w:t>
      </w:r>
      <w:r>
        <w:rPr>
          <w:rFonts w:hint="eastAsia" w:asciiTheme="minorEastAsia" w:hAnsiTheme="minorEastAsia" w:eastAsiaTheme="minorEastAsia" w:cstheme="minorEastAsia"/>
          <w:sz w:val="24"/>
          <w:szCs w:val="24"/>
          <w:highlight w:val="none"/>
        </w:rPr>
        <w:t>；</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特邀研究员： 王晶  李萍  周博  翟涛</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中俄经贸研究所所长：张广衡</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中俄科技合作研究所所长：李剑峰</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eastAsia="zh-CN"/>
        </w:rPr>
        <w:t>中俄教育文化中心主任</w:t>
      </w:r>
      <w:r>
        <w:rPr>
          <w:rFonts w:hint="eastAsia" w:asciiTheme="minorEastAsia" w:hAnsiTheme="minorEastAsia" w:eastAsiaTheme="minorEastAsia" w:cstheme="minorEastAsia"/>
          <w:sz w:val="24"/>
          <w:szCs w:val="24"/>
          <w:highlight w:val="none"/>
          <w:lang w:val="en-US" w:eastAsia="zh-CN"/>
        </w:rPr>
        <w:t xml:space="preserve"> 闫玉盛</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中俄影视文化交流中心主任：李岩</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中俄文化艺术中心主任：苗智博</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朝鲜半岛研究所所长：金东珠</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中韩研究所所长</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 xml:space="preserve">韩光天    </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副所长</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赵庆日  马世德</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国际矿业研究所所长</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 xml:space="preserve"> 姜哲</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项目咨询研究所所长：王秉刚</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商业模式研究所所长</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 xml:space="preserve"> 陈志宏</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中俄生态环境研究院院长：郭超</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中俄中医药研究院院长：孙忠仁</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驻莫斯科代表处主任：林学民</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驻哈巴罗夫斯克办事处主任：杨君</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驻符拉迪沃斯托克办事处主任：刘传</w:t>
      </w:r>
      <w:r>
        <w:rPr>
          <w:rFonts w:hint="eastAsia" w:asciiTheme="minorEastAsia" w:hAnsiTheme="minorEastAsia" w:eastAsiaTheme="minorEastAsia" w:cstheme="minorEastAsia"/>
          <w:sz w:val="24"/>
          <w:szCs w:val="24"/>
          <w:highlight w:val="none"/>
          <w:lang w:eastAsia="zh-CN"/>
        </w:rPr>
        <w:t>君</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项目管理部部长：姜春东 </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人事部部长：</w:t>
      </w:r>
      <w:r>
        <w:rPr>
          <w:rFonts w:hint="eastAsia" w:asciiTheme="minorEastAsia" w:hAnsiTheme="minorEastAsia" w:eastAsiaTheme="minorEastAsia" w:cstheme="minorEastAsia"/>
          <w:sz w:val="24"/>
          <w:szCs w:val="24"/>
          <w:highlight w:val="none"/>
        </w:rPr>
        <w:t>孟繁滨</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科研处长</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 xml:space="preserve"> 李萍（兼）</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外联部部长：齐波</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办公室主任：常慧敏</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法律委员会主任：</w:t>
      </w:r>
      <w:r>
        <w:rPr>
          <w:rFonts w:hint="eastAsia" w:asciiTheme="minorEastAsia" w:hAnsiTheme="minorEastAsia" w:eastAsiaTheme="minorEastAsia" w:cstheme="minorEastAsia"/>
          <w:sz w:val="24"/>
          <w:szCs w:val="24"/>
          <w:highlight w:val="none"/>
          <w:lang w:eastAsia="zh-CN"/>
        </w:rPr>
        <w:t>白永亮</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12"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中小企业联盟主任</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赵峰</w:t>
      </w:r>
    </w:p>
    <w:p>
      <w:pPr>
        <w:pStyle w:val="4"/>
        <w:bidi w:val="0"/>
        <w:outlineLvl w:val="1"/>
        <w:rPr>
          <w:rFonts w:hint="eastAsia" w:ascii="宋体" w:hAnsi="宋体" w:eastAsia="宋体" w:cs="宋体"/>
          <w:sz w:val="24"/>
          <w:szCs w:val="24"/>
          <w:lang w:val="en-US" w:eastAsia="zh-CN"/>
        </w:rPr>
      </w:pPr>
      <w:bookmarkStart w:id="9" w:name="_Toc12152"/>
      <w:r>
        <w:rPr>
          <w:rFonts w:hint="eastAsia" w:ascii="宋体" w:hAnsi="宋体" w:eastAsia="宋体" w:cs="宋体"/>
          <w:sz w:val="24"/>
          <w:szCs w:val="24"/>
          <w:lang w:val="en-US" w:eastAsia="zh-CN"/>
        </w:rPr>
        <w:t>2.2024年工作计划</w:t>
      </w:r>
      <w:bookmarkEnd w:id="9"/>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俄区域经济智库持续推进现有的工作计划，坚持以习近平新时代中国特色社会主义思想为指引，以对俄经贸合作，对俄农业合作，对俄产业合作，为主要研究对象，以服务各级党委和政府涉俄决策为宗旨，开展前瞻性、针对性、储备性政策研究，通过提交专业化、建设性、可操作的政策建议充分发挥咨政建言作用，通过发表、出版科学学术论著充分发挥理论创新作用，通过战略规划、咨询指导、政策宣讲、培训辅导等方式充分发挥社会服务作用。</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具体目标是：</w:t>
      </w:r>
    </w:p>
    <w:p>
      <w:pPr>
        <w:pageBreakBefore w:val="0"/>
        <w:numPr>
          <w:ilvl w:val="0"/>
          <w:numId w:val="2"/>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形成高水平研究成果服务于党中央、国务院，力争在《观点摘编》《新华社内参》《成果要报》《经济要参》等中央或国家部委内部刊物上刊发研究成果。</w:t>
      </w:r>
    </w:p>
    <w:p>
      <w:pPr>
        <w:pageBreakBefore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服务于</w:t>
      </w:r>
      <w:r>
        <w:rPr>
          <w:rFonts w:hint="eastAsia" w:asciiTheme="minorEastAsia" w:hAnsiTheme="minorEastAsia" w:eastAsiaTheme="minorEastAsia" w:cstheme="minorEastAsia"/>
          <w:sz w:val="24"/>
          <w:szCs w:val="24"/>
          <w:highlight w:val="none"/>
        </w:rPr>
        <w:t>国家和省委省政府</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提交研究报告、决策咨询报告等，并争取更多的国家领导人和省部级领导批示；</w:t>
      </w:r>
    </w:p>
    <w:p>
      <w:pPr>
        <w:pageBreakBefore w:val="0"/>
        <w:numPr>
          <w:ilvl w:val="0"/>
          <w:numId w:val="2"/>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智库</w:t>
      </w:r>
      <w:r>
        <w:rPr>
          <w:rFonts w:hint="eastAsia" w:asciiTheme="minorEastAsia" w:hAnsiTheme="minorEastAsia" w:eastAsiaTheme="minorEastAsia" w:cstheme="minorEastAsia"/>
          <w:sz w:val="24"/>
          <w:szCs w:val="24"/>
          <w:highlight w:val="none"/>
        </w:rPr>
        <w:t>成员努力实现国家社科基金、</w:t>
      </w:r>
      <w:r>
        <w:rPr>
          <w:rFonts w:hint="eastAsia" w:asciiTheme="minorEastAsia" w:hAnsiTheme="minorEastAsia" w:cstheme="minorEastAsia"/>
          <w:sz w:val="24"/>
          <w:szCs w:val="24"/>
          <w:highlight w:val="none"/>
          <w:lang w:eastAsia="zh-CN"/>
        </w:rPr>
        <w:t>国家自然科学基金</w:t>
      </w:r>
      <w:r>
        <w:rPr>
          <w:rFonts w:hint="eastAsia" w:asciiTheme="minorEastAsia" w:hAnsiTheme="minorEastAsia" w:eastAsiaTheme="minorEastAsia" w:cstheme="minorEastAsia"/>
          <w:sz w:val="24"/>
          <w:szCs w:val="24"/>
          <w:highlight w:val="none"/>
        </w:rPr>
        <w:t>等国家级科研项目立项，黑龙江省和教育部等科研立项；</w:t>
      </w:r>
    </w:p>
    <w:p>
      <w:pPr>
        <w:pageBreakBefore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实现地方政府与企业对接，完成更多招商引资。</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在工作安排上，具体有如下计划</w:t>
      </w:r>
      <w:r>
        <w:rPr>
          <w:rFonts w:hint="eastAsia" w:asciiTheme="minorEastAsia" w:hAnsiTheme="minorEastAsia" w:cstheme="minorEastAsia"/>
          <w:sz w:val="24"/>
          <w:szCs w:val="24"/>
          <w:highlight w:val="none"/>
          <w:lang w:eastAsia="zh-CN"/>
        </w:rPr>
        <w:t>：</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一要加强人才建设，</w:t>
      </w:r>
      <w:r>
        <w:rPr>
          <w:rFonts w:hint="eastAsia" w:asciiTheme="minorEastAsia" w:hAnsiTheme="minorEastAsia" w:cstheme="minorEastAsia"/>
          <w:sz w:val="24"/>
          <w:szCs w:val="24"/>
          <w:highlight w:val="none"/>
          <w:lang w:eastAsia="zh-CN"/>
        </w:rPr>
        <w:t>吸引更多</w:t>
      </w:r>
      <w:r>
        <w:rPr>
          <w:rFonts w:hint="eastAsia" w:asciiTheme="minorEastAsia" w:hAnsiTheme="minorEastAsia" w:eastAsiaTheme="minorEastAsia" w:cstheme="minorEastAsia"/>
          <w:sz w:val="24"/>
          <w:szCs w:val="24"/>
          <w:highlight w:val="none"/>
        </w:rPr>
        <w:t>的人才来到研究院这样一个开放的平台，科学谋划研究院发展思路。努力提升决策咨询能力和咨政建言水平，为党和政府科学决策提供有力支撑。</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二要加强成果推介，利用网站、微信、微博等方式开展成果宣传推介，利用微信、微博、手机客户端等方式定期向相关人群推送研究成果。</w:t>
      </w:r>
    </w:p>
    <w:p>
      <w:pPr>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三要</w:t>
      </w:r>
      <w:r>
        <w:rPr>
          <w:rFonts w:hint="eastAsia" w:asciiTheme="minorEastAsia" w:hAnsiTheme="minorEastAsia" w:eastAsiaTheme="minorEastAsia" w:cstheme="minorEastAsia"/>
          <w:sz w:val="24"/>
          <w:szCs w:val="24"/>
          <w:highlight w:val="none"/>
        </w:rPr>
        <w:t>定期组织到省内各地学习考察、举办主题论坛，发挥研究院的凝聚力，达到“聚是一团火，散是满天星”的效果，为龙江服务。</w:t>
      </w:r>
    </w:p>
    <w:p>
      <w:pPr>
        <w:pageBreakBefore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4"/>
          <w:szCs w:val="24"/>
          <w:highlight w:val="none"/>
          <w:lang w:val="en-US" w:eastAsia="zh-CN"/>
        </w:rPr>
      </w:pPr>
    </w:p>
    <w:p>
      <w:pPr>
        <w:pageBreakBefore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4"/>
          <w:szCs w:val="24"/>
          <w:highlight w:val="none"/>
          <w:lang w:val="en-US" w:eastAsia="zh-CN"/>
        </w:rPr>
      </w:pPr>
    </w:p>
    <w:p>
      <w:pPr>
        <w:pageBreakBefore w:val="0"/>
        <w:kinsoku/>
        <w:wordWrap/>
        <w:overflowPunct/>
        <w:topLinePunct w:val="0"/>
        <w:autoSpaceDE/>
        <w:autoSpaceDN/>
        <w:bidi w:val="0"/>
        <w:adjustRightInd/>
        <w:snapToGrid/>
        <w:spacing w:line="360" w:lineRule="auto"/>
        <w:ind w:firstLine="5280" w:firstLineChars="2200"/>
        <w:jc w:val="right"/>
        <w:textAlignment w:val="auto"/>
        <w:rPr>
          <w:rFonts w:hint="eastAsia" w:ascii="黑体" w:hAnsi="黑体" w:eastAsia="黑体" w:cs="黑体"/>
          <w:sz w:val="24"/>
          <w:szCs w:val="24"/>
          <w:highlight w:val="none"/>
          <w:lang w:val="en-US" w:eastAsia="zh-CN"/>
        </w:rPr>
      </w:pPr>
    </w:p>
    <w:p>
      <w:pPr>
        <w:pageBreakBefore w:val="0"/>
        <w:kinsoku/>
        <w:wordWrap/>
        <w:overflowPunct/>
        <w:topLinePunct w:val="0"/>
        <w:autoSpaceDE/>
        <w:autoSpaceDN/>
        <w:bidi w:val="0"/>
        <w:adjustRightInd/>
        <w:snapToGrid/>
        <w:spacing w:line="360" w:lineRule="auto"/>
        <w:ind w:firstLine="5040" w:firstLineChars="2100"/>
        <w:jc w:val="right"/>
        <w:textAlignment w:val="auto"/>
        <w:rPr>
          <w:rFonts w:hint="default" w:ascii="Times New Roman" w:hAnsi="Times New Roman" w:eastAsia="黑体" w:cs="Times New Roman"/>
          <w:sz w:val="24"/>
          <w:szCs w:val="24"/>
          <w:highlight w:val="none"/>
          <w:lang w:val="en-US" w:eastAsia="zh-CN"/>
        </w:rPr>
      </w:pPr>
      <w:r>
        <w:rPr>
          <w:rFonts w:hint="default" w:ascii="Times New Roman" w:hAnsi="Times New Roman" w:eastAsia="黑体" w:cs="Times New Roman"/>
          <w:sz w:val="24"/>
          <w:szCs w:val="24"/>
          <w:highlight w:val="none"/>
          <w:lang w:val="en-US" w:eastAsia="zh-CN"/>
        </w:rPr>
        <w:t>202</w:t>
      </w:r>
      <w:r>
        <w:rPr>
          <w:rFonts w:hint="eastAsia" w:ascii="Times New Roman" w:hAnsi="Times New Roman" w:eastAsia="黑体" w:cs="Times New Roman"/>
          <w:sz w:val="24"/>
          <w:szCs w:val="24"/>
          <w:highlight w:val="none"/>
          <w:lang w:val="en-US" w:eastAsia="zh-CN"/>
        </w:rPr>
        <w:t>3</w:t>
      </w:r>
      <w:r>
        <w:rPr>
          <w:rFonts w:hint="default" w:ascii="Times New Roman" w:hAnsi="Times New Roman" w:eastAsia="黑体" w:cs="Times New Roman"/>
          <w:sz w:val="24"/>
          <w:szCs w:val="24"/>
          <w:highlight w:val="none"/>
          <w:lang w:val="en-US" w:eastAsia="zh-CN"/>
        </w:rPr>
        <w:t>年1</w:t>
      </w:r>
      <w:r>
        <w:rPr>
          <w:rFonts w:hint="eastAsia" w:ascii="Times New Roman" w:hAnsi="Times New Roman" w:eastAsia="黑体" w:cs="Times New Roman"/>
          <w:sz w:val="24"/>
          <w:szCs w:val="24"/>
          <w:highlight w:val="none"/>
          <w:lang w:val="en-US" w:eastAsia="zh-CN"/>
        </w:rPr>
        <w:t>2</w:t>
      </w:r>
      <w:r>
        <w:rPr>
          <w:rFonts w:hint="default" w:ascii="Times New Roman" w:hAnsi="Times New Roman" w:eastAsia="黑体" w:cs="Times New Roman"/>
          <w:sz w:val="24"/>
          <w:szCs w:val="24"/>
          <w:highlight w:val="none"/>
          <w:lang w:val="en-US" w:eastAsia="zh-CN"/>
        </w:rPr>
        <w:t>月</w:t>
      </w:r>
      <w:r>
        <w:rPr>
          <w:rFonts w:hint="eastAsia" w:ascii="Times New Roman" w:hAnsi="Times New Roman" w:eastAsia="黑体" w:cs="Times New Roman"/>
          <w:sz w:val="24"/>
          <w:szCs w:val="24"/>
          <w:highlight w:val="none"/>
          <w:lang w:val="en-US" w:eastAsia="zh-CN"/>
        </w:rPr>
        <w:t>3</w:t>
      </w:r>
      <w:r>
        <w:rPr>
          <w:rFonts w:hint="default" w:ascii="Times New Roman" w:hAnsi="Times New Roman" w:eastAsia="黑体" w:cs="Times New Roman"/>
          <w:sz w:val="24"/>
          <w:szCs w:val="24"/>
          <w:highlight w:val="none"/>
          <w:lang w:val="en-US" w:eastAsia="zh-CN"/>
        </w:rPr>
        <w:t>0日</w:t>
      </w:r>
    </w:p>
    <w:p>
      <w:pPr>
        <w:pageBreakBefore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4"/>
          <w:szCs w:val="24"/>
          <w:highlight w:val="none"/>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汉仪雅酷黑 75W">
    <w:altName w:val="黑体"/>
    <w:panose1 w:val="020B0804020202020204"/>
    <w:charset w:val="86"/>
    <w:family w:val="auto"/>
    <w:pitch w:val="default"/>
    <w:sig w:usb0="00000000" w:usb1="00000000" w:usb2="00000016" w:usb3="00000000" w:csb0="2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15A793"/>
    <w:multiLevelType w:val="singleLevel"/>
    <w:tmpl w:val="8E15A793"/>
    <w:lvl w:ilvl="0" w:tentative="0">
      <w:start w:val="1"/>
      <w:numFmt w:val="decimal"/>
      <w:suff w:val="nothing"/>
      <w:lvlText w:val="（%1）"/>
      <w:lvlJc w:val="left"/>
    </w:lvl>
  </w:abstractNum>
  <w:abstractNum w:abstractNumId="1">
    <w:nsid w:val="B49AFCBA"/>
    <w:multiLevelType w:val="singleLevel"/>
    <w:tmpl w:val="B49AFCBA"/>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3YjUwMTk3MjZjYWUwY2ZkNDFlZmQyNTVjMTk5OGEifQ=="/>
  </w:docVars>
  <w:rsids>
    <w:rsidRoot w:val="6B46715A"/>
    <w:rsid w:val="013C144F"/>
    <w:rsid w:val="03223696"/>
    <w:rsid w:val="07265371"/>
    <w:rsid w:val="164B2D34"/>
    <w:rsid w:val="16C84CFF"/>
    <w:rsid w:val="23EE4165"/>
    <w:rsid w:val="24547947"/>
    <w:rsid w:val="26152B16"/>
    <w:rsid w:val="2C6C64D3"/>
    <w:rsid w:val="2C792F5E"/>
    <w:rsid w:val="3EB774EB"/>
    <w:rsid w:val="41943C9F"/>
    <w:rsid w:val="45D71243"/>
    <w:rsid w:val="4814752B"/>
    <w:rsid w:val="4B8D662C"/>
    <w:rsid w:val="55334A4C"/>
    <w:rsid w:val="68A26032"/>
    <w:rsid w:val="6B46715A"/>
    <w:rsid w:val="6F0449DB"/>
    <w:rsid w:val="76422F15"/>
    <w:rsid w:val="779C3837"/>
    <w:rsid w:val="78A26496"/>
    <w:rsid w:val="7D6F67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4"/>
    <w:qFormat/>
    <w:uiPriority w:val="0"/>
    <w:pPr>
      <w:keepNext/>
      <w:keepLines/>
      <w:spacing w:before="340" w:beforeLines="0" w:beforeAutospacing="0" w:after="330" w:afterLines="0" w:afterAutospacing="0" w:line="576" w:lineRule="auto"/>
      <w:outlineLvl w:val="0"/>
    </w:pPr>
    <w:rPr>
      <w:rFonts w:eastAsia="黑体" w:asciiTheme="minorAscii" w:hAnsiTheme="minorAscii"/>
      <w:b/>
      <w:kern w:val="44"/>
      <w:sz w:val="30"/>
    </w:rPr>
  </w:style>
  <w:style w:type="paragraph" w:styleId="4">
    <w:name w:val="heading 2"/>
    <w:basedOn w:val="1"/>
    <w:next w:val="1"/>
    <w:link w:val="17"/>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line="360" w:lineRule="auto"/>
      <w:outlineLvl w:val="2"/>
    </w:pPr>
    <w:rPr>
      <w:rFonts w:ascii="Calibri" w:hAnsi="Calibri" w:eastAsia="Arial Unicode MS" w:cs="Arial Unicode MS"/>
      <w:color w:val="000000"/>
      <w:u w:val="none" w:color="000000"/>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jc w:val="center"/>
    </w:pPr>
    <w:rPr>
      <w:rFonts w:ascii="仿宋" w:hAnsi="仿宋" w:eastAsia="仿宋"/>
      <w:bCs/>
      <w:sz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4">
    <w:name w:val="标题 1 Char"/>
    <w:link w:val="3"/>
    <w:qFormat/>
    <w:uiPriority w:val="0"/>
    <w:rPr>
      <w:rFonts w:eastAsia="黑体" w:asciiTheme="minorAscii" w:hAnsiTheme="minorAscii"/>
      <w:b/>
      <w:kern w:val="44"/>
      <w:sz w:val="30"/>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paragraph" w:customStyle="1" w:styleId="16">
    <w:name w:val="WPSOffice手动目录 2"/>
    <w:qFormat/>
    <w:uiPriority w:val="0"/>
    <w:pPr>
      <w:ind w:leftChars="200"/>
    </w:pPr>
    <w:rPr>
      <w:rFonts w:ascii="Times New Roman" w:hAnsi="Times New Roman" w:eastAsia="宋体" w:cs="Times New Roman"/>
      <w:sz w:val="20"/>
      <w:szCs w:val="20"/>
    </w:rPr>
  </w:style>
  <w:style w:type="character" w:customStyle="1" w:styleId="17">
    <w:name w:val="标题 2 Char"/>
    <w:link w:val="4"/>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项目计划36"/>
      <sectRole val="1"/>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5729</Words>
  <Characters>5780</Characters>
  <Lines>0</Lines>
  <Paragraphs>0</Paragraphs>
  <TotalTime>14</TotalTime>
  <ScaleCrop>false</ScaleCrop>
  <LinksUpToDate>false</LinksUpToDate>
  <CharactersWithSpaces>5807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2019-12-12T12:44:00Z</dcterms:created>
  <dc:creator>咕咕</dc:creator>
  <cp:lastModifiedBy>中俄区域经济宋魁</cp:lastModifiedBy>
  <dcterms:modified xsi:type="dcterms:W3CDTF">2024-06-25T01:26:48Z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9138782B46DF4D089C3AEA4A2962017C_13</vt:lpwstr>
  </property>
</Properties>
</file>